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275FB" w14:textId="5B0052CB" w:rsidR="006F5086" w:rsidRPr="00AC4F56" w:rsidRDefault="006F5086" w:rsidP="006F5086">
      <w:pPr>
        <w:spacing w:after="100"/>
        <w:rPr>
          <w:rFonts w:ascii="Arial" w:hAnsi="Arial"/>
        </w:rPr>
      </w:pPr>
      <w:r>
        <w:rPr>
          <w:rFonts w:ascii="Arial" w:hAnsi="Arial"/>
          <w:i/>
        </w:rPr>
        <w:t>201</w:t>
      </w:r>
      <w:r w:rsidR="00587EAB">
        <w:rPr>
          <w:rFonts w:ascii="Arial" w:hAnsi="Arial"/>
          <w:i/>
        </w:rPr>
        <w:t>8</w:t>
      </w:r>
      <w:r>
        <w:rPr>
          <w:rFonts w:ascii="Arial" w:hAnsi="Arial"/>
          <w:i/>
        </w:rPr>
        <w:t>-</w:t>
      </w:r>
      <w:r w:rsidR="000E438E">
        <w:rPr>
          <w:rFonts w:ascii="Arial" w:hAnsi="Arial"/>
          <w:i/>
        </w:rPr>
        <w:t>6</w:t>
      </w:r>
      <w:r w:rsidR="00587EAB">
        <w:rPr>
          <w:rFonts w:ascii="Arial" w:hAnsi="Arial"/>
          <w:i/>
        </w:rPr>
        <w:t>-</w:t>
      </w:r>
      <w:r w:rsidR="000E438E">
        <w:rPr>
          <w:rFonts w:ascii="Arial" w:hAnsi="Arial"/>
          <w:i/>
        </w:rPr>
        <w:t>20</w:t>
      </w:r>
    </w:p>
    <w:p w14:paraId="44455C20" w14:textId="48600943" w:rsidR="006F5086" w:rsidRPr="00F43F55" w:rsidRDefault="00E45F38" w:rsidP="00F43F55">
      <w:pPr>
        <w:pStyle w:val="Heading1"/>
        <w:rPr>
          <w:rFonts w:ascii="Arial" w:hAnsi="Arial" w:cs="Arial"/>
          <w:b/>
          <w:color w:val="auto"/>
        </w:rPr>
      </w:pPr>
      <w:r w:rsidRPr="006F5086">
        <w:rPr>
          <w:rFonts w:ascii="Arial" w:hAnsi="Arial" w:cs="Arial"/>
          <w:b/>
          <w:color w:val="auto"/>
        </w:rPr>
        <w:t xml:space="preserve">Guidelines for sequencing </w:t>
      </w:r>
      <w:r w:rsidR="003D2C29" w:rsidRPr="006F5086">
        <w:rPr>
          <w:rFonts w:ascii="Arial" w:hAnsi="Arial" w:cs="Arial"/>
          <w:b/>
          <w:color w:val="auto"/>
        </w:rPr>
        <w:t>SC</w:t>
      </w:r>
      <w:r w:rsidR="00EA3C14" w:rsidRPr="006F5086">
        <w:rPr>
          <w:rFonts w:ascii="Arial" w:hAnsi="Arial" w:cs="Arial"/>
          <w:b/>
          <w:color w:val="auto"/>
        </w:rPr>
        <w:t>C</w:t>
      </w:r>
      <w:r w:rsidRPr="006F5086">
        <w:rPr>
          <w:rFonts w:ascii="Arial" w:hAnsi="Arial" w:cs="Arial"/>
          <w:b/>
          <w:color w:val="auto"/>
        </w:rPr>
        <w:t xml:space="preserve"> libraries</w:t>
      </w:r>
    </w:p>
    <w:p w14:paraId="5EEBE4C9" w14:textId="52D431F3" w:rsidR="00587EAB" w:rsidRDefault="00F43F55" w:rsidP="00EA4787">
      <w:pPr>
        <w:rPr>
          <w:rFonts w:ascii="Arial" w:hAnsi="Arial" w:cs="Arial"/>
          <w:color w:val="FF0000"/>
          <w:sz w:val="22"/>
          <w:szCs w:val="22"/>
        </w:rPr>
      </w:pPr>
      <w:r w:rsidRPr="00F43F55">
        <w:rPr>
          <w:rFonts w:ascii="Arial" w:hAnsi="Arial" w:cs="Arial"/>
          <w:color w:val="FF0000"/>
          <w:sz w:val="22"/>
          <w:szCs w:val="22"/>
        </w:rPr>
        <w:t>All libraries made</w:t>
      </w:r>
      <w:r w:rsidR="000A1792">
        <w:rPr>
          <w:rFonts w:ascii="Arial" w:hAnsi="Arial" w:cs="Arial"/>
          <w:color w:val="FF0000"/>
          <w:sz w:val="22"/>
          <w:szCs w:val="22"/>
        </w:rPr>
        <w:t xml:space="preserve"> using SCC supplied hydrogel</w:t>
      </w:r>
      <w:r w:rsidRPr="00F43F55">
        <w:rPr>
          <w:rFonts w:ascii="Arial" w:hAnsi="Arial" w:cs="Arial"/>
          <w:color w:val="FF0000"/>
          <w:sz w:val="22"/>
          <w:szCs w:val="22"/>
        </w:rPr>
        <w:t xml:space="preserve"> after 1-1-2017 are V3 libraries</w:t>
      </w:r>
    </w:p>
    <w:p w14:paraId="2F402D90" w14:textId="77777777" w:rsidR="0012498B" w:rsidRPr="0012498B" w:rsidRDefault="0012498B" w:rsidP="00EA4787">
      <w:pPr>
        <w:rPr>
          <w:rFonts w:ascii="Arial" w:hAnsi="Arial" w:cs="Arial"/>
          <w:color w:val="FF0000"/>
          <w:sz w:val="22"/>
          <w:szCs w:val="22"/>
        </w:rPr>
      </w:pPr>
      <w:bookmarkStart w:id="0" w:name="_GoBack"/>
      <w:bookmarkEnd w:id="0"/>
    </w:p>
    <w:p w14:paraId="7D63D8C0" w14:textId="5FE7E93E" w:rsidR="00F43F55" w:rsidRPr="00F43F55" w:rsidRDefault="00F43F55" w:rsidP="00EA4787">
      <w:pPr>
        <w:rPr>
          <w:rFonts w:ascii="Arial" w:hAnsi="Arial" w:cs="Arial"/>
          <w:b/>
          <w:sz w:val="22"/>
          <w:szCs w:val="22"/>
          <w:u w:val="single"/>
        </w:rPr>
      </w:pPr>
      <w:r w:rsidRPr="00F43F55">
        <w:rPr>
          <w:rFonts w:ascii="Arial" w:hAnsi="Arial" w:cs="Arial"/>
          <w:b/>
          <w:sz w:val="22"/>
          <w:szCs w:val="22"/>
          <w:u w:val="single"/>
        </w:rPr>
        <w:t>Upon receiving your libraries:</w:t>
      </w:r>
    </w:p>
    <w:p w14:paraId="0A71BA38" w14:textId="759A268A" w:rsidR="00F43F55" w:rsidRDefault="00F43F55" w:rsidP="00EA4787">
      <w:pPr>
        <w:rPr>
          <w:rFonts w:ascii="Arial" w:hAnsi="Arial" w:cs="Arial"/>
          <w:sz w:val="22"/>
          <w:szCs w:val="22"/>
        </w:rPr>
      </w:pPr>
      <w:r>
        <w:rPr>
          <w:rFonts w:ascii="Arial" w:hAnsi="Arial" w:cs="Arial"/>
          <w:sz w:val="22"/>
          <w:szCs w:val="22"/>
        </w:rPr>
        <w:t xml:space="preserve">When your libraries are delivered you will be given the library concentration as we determined using Qubit as well as the library index used for each sample. You will also be given the library size as determined by </w:t>
      </w:r>
      <w:proofErr w:type="spellStart"/>
      <w:r>
        <w:rPr>
          <w:rFonts w:ascii="Arial" w:hAnsi="Arial" w:cs="Arial"/>
          <w:sz w:val="22"/>
          <w:szCs w:val="22"/>
        </w:rPr>
        <w:t>Bioanalyzer</w:t>
      </w:r>
      <w:proofErr w:type="spellEnd"/>
      <w:r>
        <w:rPr>
          <w:rFonts w:ascii="Arial" w:hAnsi="Arial" w:cs="Arial"/>
          <w:sz w:val="22"/>
          <w:szCs w:val="22"/>
        </w:rPr>
        <w:t xml:space="preserve"> by and a </w:t>
      </w:r>
      <w:proofErr w:type="spellStart"/>
      <w:r>
        <w:rPr>
          <w:rFonts w:ascii="Arial" w:hAnsi="Arial" w:cs="Arial"/>
          <w:sz w:val="22"/>
          <w:szCs w:val="22"/>
        </w:rPr>
        <w:t>Bioanalyzer</w:t>
      </w:r>
      <w:proofErr w:type="spellEnd"/>
      <w:r>
        <w:rPr>
          <w:rFonts w:ascii="Arial" w:hAnsi="Arial" w:cs="Arial"/>
          <w:sz w:val="22"/>
          <w:szCs w:val="22"/>
        </w:rPr>
        <w:t xml:space="preserve"> trace showing a representative example of your libraries. You will NOT receive traces of all your libraries.</w:t>
      </w:r>
    </w:p>
    <w:p w14:paraId="280A82BD" w14:textId="4824B866" w:rsidR="00F43F55" w:rsidRDefault="00F43F55" w:rsidP="00EA4787">
      <w:pPr>
        <w:rPr>
          <w:rFonts w:ascii="Arial" w:hAnsi="Arial" w:cs="Arial"/>
          <w:sz w:val="22"/>
          <w:szCs w:val="22"/>
        </w:rPr>
      </w:pPr>
      <w:r>
        <w:rPr>
          <w:rFonts w:ascii="Arial" w:hAnsi="Arial" w:cs="Arial"/>
          <w:sz w:val="22"/>
          <w:szCs w:val="22"/>
        </w:rPr>
        <w:t xml:space="preserve">Each of your libraries will also have a separate library index.  We suggest pooling your samples by the </w:t>
      </w:r>
      <w:r w:rsidR="00C517A7">
        <w:rPr>
          <w:rFonts w:ascii="Arial" w:hAnsi="Arial" w:cs="Arial"/>
          <w:sz w:val="22"/>
          <w:szCs w:val="22"/>
        </w:rPr>
        <w:t>concentration you are given then having the</w:t>
      </w:r>
      <w:r w:rsidR="00587EAB">
        <w:rPr>
          <w:rFonts w:ascii="Arial" w:hAnsi="Arial" w:cs="Arial"/>
          <w:sz w:val="22"/>
          <w:szCs w:val="22"/>
        </w:rPr>
        <w:t xml:space="preserve"> sequencing</w:t>
      </w:r>
      <w:r w:rsidR="00C517A7">
        <w:rPr>
          <w:rFonts w:ascii="Arial" w:hAnsi="Arial" w:cs="Arial"/>
          <w:sz w:val="22"/>
          <w:szCs w:val="22"/>
        </w:rPr>
        <w:t xml:space="preserve"> core do qPCR quantitation of the </w:t>
      </w:r>
      <w:r w:rsidR="00587EAB">
        <w:rPr>
          <w:rFonts w:ascii="Arial" w:hAnsi="Arial" w:cs="Arial"/>
          <w:sz w:val="22"/>
          <w:szCs w:val="22"/>
        </w:rPr>
        <w:t xml:space="preserve">pooled </w:t>
      </w:r>
      <w:r w:rsidR="00C517A7">
        <w:rPr>
          <w:rFonts w:ascii="Arial" w:hAnsi="Arial" w:cs="Arial"/>
          <w:sz w:val="22"/>
          <w:szCs w:val="22"/>
        </w:rPr>
        <w:t>sample for optimal cluster generation.</w:t>
      </w:r>
    </w:p>
    <w:p w14:paraId="1668353D" w14:textId="77777777" w:rsidR="00587EAB" w:rsidRDefault="00587EAB" w:rsidP="00587EAB">
      <w:pPr>
        <w:ind w:left="720"/>
        <w:rPr>
          <w:rFonts w:ascii="Arial" w:hAnsi="Arial" w:cs="Arial"/>
          <w:sz w:val="22"/>
          <w:szCs w:val="22"/>
        </w:rPr>
      </w:pPr>
      <w:r>
        <w:rPr>
          <w:rFonts w:ascii="Arial" w:hAnsi="Arial" w:cs="Arial"/>
          <w:sz w:val="22"/>
          <w:szCs w:val="22"/>
        </w:rPr>
        <w:t>IF your libraries show any peaks below 200bp you will receive notification that your libraries likely have primer dimer contamination, which can negatively impact sequencing.  If this is significant we suggest you pool your samples at 2x or greater the concentration you will use for sequencing and do a final 0.8x SPRI cleanup on the sample (</w:t>
      </w:r>
      <w:proofErr w:type="gramStart"/>
      <w:r>
        <w:rPr>
          <w:rFonts w:ascii="Arial" w:hAnsi="Arial" w:cs="Arial"/>
          <w:sz w:val="22"/>
          <w:szCs w:val="22"/>
        </w:rPr>
        <w:t>note</w:t>
      </w:r>
      <w:proofErr w:type="gramEnd"/>
      <w:r>
        <w:rPr>
          <w:rFonts w:ascii="Arial" w:hAnsi="Arial" w:cs="Arial"/>
          <w:sz w:val="22"/>
          <w:szCs w:val="22"/>
        </w:rPr>
        <w:t xml:space="preserve"> there will be sample loss doing this).  </w:t>
      </w:r>
    </w:p>
    <w:p w14:paraId="08582C15" w14:textId="19FA7093" w:rsidR="00587EAB" w:rsidRDefault="00587EAB" w:rsidP="000E438E">
      <w:pPr>
        <w:ind w:left="720"/>
        <w:rPr>
          <w:rFonts w:ascii="Arial" w:hAnsi="Arial" w:cs="Arial"/>
          <w:sz w:val="22"/>
          <w:szCs w:val="22"/>
        </w:rPr>
      </w:pPr>
      <w:r>
        <w:rPr>
          <w:rFonts w:ascii="Arial" w:hAnsi="Arial" w:cs="Arial"/>
          <w:sz w:val="22"/>
          <w:szCs w:val="22"/>
        </w:rPr>
        <w:t>This cleanup step can be done by the user, the SCC can help, or it is likely the sequencing core could perform this as part of QC.</w:t>
      </w:r>
    </w:p>
    <w:p w14:paraId="68ECB182" w14:textId="5C88840C" w:rsidR="00587EAB" w:rsidRPr="00587EAB" w:rsidRDefault="00C517A7" w:rsidP="00117C5F">
      <w:pPr>
        <w:rPr>
          <w:rFonts w:ascii="Arial" w:hAnsi="Arial" w:cs="Arial"/>
          <w:sz w:val="22"/>
          <w:szCs w:val="22"/>
        </w:rPr>
      </w:pPr>
      <w:r>
        <w:rPr>
          <w:rFonts w:ascii="Arial" w:hAnsi="Arial" w:cs="Arial"/>
          <w:sz w:val="22"/>
          <w:szCs w:val="22"/>
        </w:rPr>
        <w:t xml:space="preserve">Once you make your pool and are ready to sequence see the DETAILED instructions below </w:t>
      </w:r>
      <w:r w:rsidR="00587EAB">
        <w:rPr>
          <w:rFonts w:ascii="Arial" w:hAnsi="Arial" w:cs="Arial"/>
          <w:sz w:val="22"/>
          <w:szCs w:val="22"/>
        </w:rPr>
        <w:t>as sequencing InDrops libraries:</w:t>
      </w:r>
    </w:p>
    <w:p w14:paraId="624F1D41" w14:textId="08108586" w:rsidR="00275883" w:rsidRDefault="00030A76" w:rsidP="00117C5F">
      <w:pPr>
        <w:rPr>
          <w:rFonts w:ascii="Arial" w:hAnsi="Arial" w:cs="Arial"/>
          <w:sz w:val="22"/>
          <w:szCs w:val="22"/>
        </w:rPr>
      </w:pPr>
      <w:r w:rsidRPr="00C517A7">
        <w:rPr>
          <w:rFonts w:ascii="Arial" w:hAnsi="Arial" w:cs="Arial"/>
          <w:sz w:val="22"/>
          <w:szCs w:val="22"/>
          <w:highlight w:val="yellow"/>
        </w:rPr>
        <w:t xml:space="preserve">For V3 sequencing please ask the core to deliver </w:t>
      </w:r>
      <w:proofErr w:type="spellStart"/>
      <w:r w:rsidRPr="00C517A7">
        <w:rPr>
          <w:rFonts w:ascii="Arial" w:hAnsi="Arial" w:cs="Arial"/>
          <w:sz w:val="22"/>
          <w:szCs w:val="22"/>
          <w:highlight w:val="yellow"/>
        </w:rPr>
        <w:t>fastq</w:t>
      </w:r>
      <w:proofErr w:type="spellEnd"/>
      <w:r w:rsidRPr="00C517A7">
        <w:rPr>
          <w:rFonts w:ascii="Arial" w:hAnsi="Arial" w:cs="Arial"/>
          <w:sz w:val="22"/>
          <w:szCs w:val="22"/>
          <w:highlight w:val="yellow"/>
        </w:rPr>
        <w:t xml:space="preserve"> files for ALL reads – including index reads.</w:t>
      </w:r>
      <w:r w:rsidR="003E2CBB" w:rsidRPr="00C517A7">
        <w:rPr>
          <w:rFonts w:ascii="Arial" w:hAnsi="Arial" w:cs="Arial"/>
          <w:sz w:val="22"/>
          <w:szCs w:val="22"/>
          <w:highlight w:val="yellow"/>
        </w:rPr>
        <w:t xml:space="preserve"> Or you </w:t>
      </w:r>
      <w:r w:rsidR="00117C5F" w:rsidRPr="00C517A7">
        <w:rPr>
          <w:rFonts w:ascii="Arial" w:hAnsi="Arial" w:cs="Arial"/>
          <w:sz w:val="22"/>
          <w:szCs w:val="22"/>
          <w:highlight w:val="yellow"/>
        </w:rPr>
        <w:t>can ask for the BCL files</w:t>
      </w:r>
    </w:p>
    <w:p w14:paraId="7CDF2823" w14:textId="02BBA632" w:rsidR="00587EAB" w:rsidRDefault="00587EAB" w:rsidP="00117C5F">
      <w:pPr>
        <w:rPr>
          <w:rFonts w:ascii="Arial" w:hAnsi="Arial" w:cs="Arial"/>
          <w:sz w:val="22"/>
          <w:szCs w:val="22"/>
        </w:rPr>
      </w:pPr>
    </w:p>
    <w:p w14:paraId="73E390B8" w14:textId="77777777" w:rsidR="002A399A" w:rsidRDefault="002A399A" w:rsidP="00117C5F">
      <w:pPr>
        <w:rPr>
          <w:rFonts w:ascii="Arial" w:hAnsi="Arial" w:cs="Arial"/>
          <w:sz w:val="22"/>
          <w:szCs w:val="22"/>
        </w:rPr>
      </w:pPr>
    </w:p>
    <w:p w14:paraId="47CF169C" w14:textId="0F3B7C78" w:rsidR="008B16B3" w:rsidRPr="00556162" w:rsidRDefault="008B16B3" w:rsidP="008B16B3">
      <w:pPr>
        <w:rPr>
          <w:rFonts w:ascii="Arial" w:hAnsi="Arial" w:cs="Arial"/>
          <w:b/>
          <w:sz w:val="22"/>
          <w:szCs w:val="22"/>
          <w:u w:val="single"/>
        </w:rPr>
      </w:pPr>
      <w:r w:rsidRPr="00556162">
        <w:rPr>
          <w:rFonts w:ascii="Arial" w:hAnsi="Arial" w:cs="Arial"/>
          <w:b/>
          <w:sz w:val="22"/>
          <w:szCs w:val="22"/>
          <w:u w:val="single"/>
        </w:rPr>
        <w:t>V3 Sequencing</w:t>
      </w:r>
    </w:p>
    <w:p w14:paraId="06D97C07" w14:textId="41ED6920" w:rsidR="00EA4787" w:rsidRDefault="00556162" w:rsidP="00EA4787">
      <w:pPr>
        <w:rPr>
          <w:rFonts w:ascii="Arial" w:hAnsi="Arial" w:cs="Arial"/>
          <w:sz w:val="22"/>
          <w:szCs w:val="22"/>
        </w:rPr>
      </w:pPr>
      <w:r>
        <w:rPr>
          <w:rFonts w:ascii="Arial" w:hAnsi="Arial" w:cs="Arial"/>
          <w:sz w:val="22"/>
          <w:szCs w:val="22"/>
        </w:rPr>
        <w:t>The V3 design aim was to get rid of the nee</w:t>
      </w:r>
      <w:r w:rsidR="00C23F9C">
        <w:rPr>
          <w:rFonts w:ascii="Arial" w:hAnsi="Arial" w:cs="Arial"/>
          <w:sz w:val="22"/>
          <w:szCs w:val="22"/>
        </w:rPr>
        <w:t xml:space="preserve">d for custom sequencing primers, </w:t>
      </w:r>
      <w:r>
        <w:rPr>
          <w:rFonts w:ascii="Arial" w:hAnsi="Arial" w:cs="Arial"/>
          <w:sz w:val="22"/>
          <w:szCs w:val="22"/>
        </w:rPr>
        <w:t>include more diversity in certain parts of the barcode for higher quality sequencing</w:t>
      </w:r>
      <w:r w:rsidR="00C23F9C">
        <w:rPr>
          <w:rFonts w:ascii="Arial" w:hAnsi="Arial" w:cs="Arial"/>
          <w:sz w:val="22"/>
          <w:szCs w:val="22"/>
        </w:rPr>
        <w:t>, and save cycles by not sequencing the constant regions of the cell barcode</w:t>
      </w:r>
      <w:r>
        <w:rPr>
          <w:rFonts w:ascii="Arial" w:hAnsi="Arial" w:cs="Arial"/>
          <w:sz w:val="22"/>
          <w:szCs w:val="22"/>
        </w:rPr>
        <w:t>.</w:t>
      </w:r>
    </w:p>
    <w:p w14:paraId="69B83719" w14:textId="64934FAE" w:rsidR="00AB4A4A" w:rsidRDefault="003E2CBB" w:rsidP="00EA4787">
      <w:pPr>
        <w:rPr>
          <w:rFonts w:ascii="Arial" w:hAnsi="Arial" w:cs="Arial"/>
          <w:sz w:val="22"/>
          <w:szCs w:val="22"/>
        </w:rPr>
      </w:pPr>
      <w:r>
        <w:rPr>
          <w:rFonts w:ascii="Arial" w:hAnsi="Arial" w:cs="Arial"/>
          <w:sz w:val="22"/>
          <w:szCs w:val="22"/>
        </w:rPr>
        <w:t xml:space="preserve">V3 libraries have been successfully run on </w:t>
      </w:r>
      <w:proofErr w:type="spellStart"/>
      <w:r>
        <w:rPr>
          <w:rFonts w:ascii="Arial" w:hAnsi="Arial" w:cs="Arial"/>
          <w:sz w:val="22"/>
          <w:szCs w:val="22"/>
        </w:rPr>
        <w:t>MiSeq</w:t>
      </w:r>
      <w:proofErr w:type="spellEnd"/>
      <w:r>
        <w:rPr>
          <w:rFonts w:ascii="Arial" w:hAnsi="Arial" w:cs="Arial"/>
          <w:sz w:val="22"/>
          <w:szCs w:val="22"/>
        </w:rPr>
        <w:t xml:space="preserve">, </w:t>
      </w:r>
      <w:proofErr w:type="spellStart"/>
      <w:r w:rsidR="00862CD9">
        <w:rPr>
          <w:rFonts w:ascii="Arial" w:hAnsi="Arial" w:cs="Arial"/>
          <w:sz w:val="22"/>
          <w:szCs w:val="22"/>
        </w:rPr>
        <w:t>HiSeq</w:t>
      </w:r>
      <w:proofErr w:type="spellEnd"/>
      <w:r w:rsidR="00862CD9">
        <w:rPr>
          <w:rFonts w:ascii="Arial" w:hAnsi="Arial" w:cs="Arial"/>
          <w:sz w:val="22"/>
          <w:szCs w:val="22"/>
        </w:rPr>
        <w:t xml:space="preserve"> and </w:t>
      </w:r>
      <w:proofErr w:type="spellStart"/>
      <w:r w:rsidR="00862CD9">
        <w:rPr>
          <w:rFonts w:ascii="Arial" w:hAnsi="Arial" w:cs="Arial"/>
          <w:sz w:val="22"/>
          <w:szCs w:val="22"/>
        </w:rPr>
        <w:t>NextSeq</w:t>
      </w:r>
      <w:proofErr w:type="spellEnd"/>
      <w:r w:rsidR="00862CD9">
        <w:rPr>
          <w:rFonts w:ascii="Arial" w:hAnsi="Arial" w:cs="Arial"/>
          <w:sz w:val="22"/>
          <w:szCs w:val="22"/>
        </w:rPr>
        <w:t xml:space="preserve"> instruments. While </w:t>
      </w:r>
      <w:proofErr w:type="spellStart"/>
      <w:r w:rsidR="00862CD9">
        <w:rPr>
          <w:rFonts w:ascii="Arial" w:hAnsi="Arial" w:cs="Arial"/>
          <w:sz w:val="22"/>
          <w:szCs w:val="22"/>
        </w:rPr>
        <w:t>HiSeq</w:t>
      </w:r>
      <w:proofErr w:type="spellEnd"/>
      <w:r w:rsidR="00862CD9">
        <w:rPr>
          <w:rFonts w:ascii="Arial" w:hAnsi="Arial" w:cs="Arial"/>
          <w:sz w:val="22"/>
          <w:szCs w:val="22"/>
        </w:rPr>
        <w:t xml:space="preserve"> usually gives the best data, this comes at a higher cost per base. </w:t>
      </w:r>
      <w:r>
        <w:rPr>
          <w:rFonts w:ascii="Arial" w:hAnsi="Arial" w:cs="Arial"/>
          <w:sz w:val="22"/>
          <w:szCs w:val="22"/>
        </w:rPr>
        <w:t xml:space="preserve">These libraries are most often run on </w:t>
      </w:r>
      <w:proofErr w:type="spellStart"/>
      <w:r>
        <w:rPr>
          <w:rFonts w:ascii="Arial" w:hAnsi="Arial" w:cs="Arial"/>
          <w:sz w:val="22"/>
          <w:szCs w:val="22"/>
        </w:rPr>
        <w:t>NextSeqs</w:t>
      </w:r>
      <w:proofErr w:type="spellEnd"/>
      <w:r>
        <w:rPr>
          <w:rFonts w:ascii="Arial" w:hAnsi="Arial" w:cs="Arial"/>
          <w:sz w:val="22"/>
          <w:szCs w:val="22"/>
        </w:rPr>
        <w:t xml:space="preserve"> and the specific parameters for setting up a </w:t>
      </w:r>
      <w:proofErr w:type="spellStart"/>
      <w:r>
        <w:rPr>
          <w:rFonts w:ascii="Arial" w:hAnsi="Arial" w:cs="Arial"/>
          <w:sz w:val="22"/>
          <w:szCs w:val="22"/>
        </w:rPr>
        <w:t>NextSeq</w:t>
      </w:r>
      <w:proofErr w:type="spellEnd"/>
      <w:r>
        <w:rPr>
          <w:rFonts w:ascii="Arial" w:hAnsi="Arial" w:cs="Arial"/>
          <w:sz w:val="22"/>
          <w:szCs w:val="22"/>
        </w:rPr>
        <w:t xml:space="preserve"> run are given below:</w:t>
      </w:r>
    </w:p>
    <w:p w14:paraId="1AD7BA06" w14:textId="7443576E" w:rsidR="00944A44" w:rsidRPr="00117C5F" w:rsidRDefault="00944A44" w:rsidP="00EA4787">
      <w:pPr>
        <w:rPr>
          <w:rFonts w:ascii="Arial" w:hAnsi="Arial" w:cs="Arial"/>
          <w:b/>
          <w:sz w:val="22"/>
          <w:szCs w:val="22"/>
        </w:rPr>
      </w:pPr>
      <w:proofErr w:type="spellStart"/>
      <w:r w:rsidRPr="00117C5F">
        <w:rPr>
          <w:rFonts w:ascii="Arial" w:hAnsi="Arial" w:cs="Arial"/>
          <w:b/>
          <w:sz w:val="22"/>
          <w:szCs w:val="22"/>
        </w:rPr>
        <w:t>PhiX</w:t>
      </w:r>
      <w:proofErr w:type="spellEnd"/>
      <w:r w:rsidRPr="00117C5F">
        <w:rPr>
          <w:rFonts w:ascii="Arial" w:hAnsi="Arial" w:cs="Arial"/>
          <w:b/>
          <w:sz w:val="22"/>
          <w:szCs w:val="22"/>
        </w:rPr>
        <w:t xml:space="preserve"> is not necessary in sequencing.</w:t>
      </w:r>
      <w:r w:rsidR="00587EAB">
        <w:rPr>
          <w:rFonts w:ascii="Arial" w:hAnsi="Arial" w:cs="Arial"/>
          <w:b/>
          <w:sz w:val="22"/>
          <w:szCs w:val="22"/>
        </w:rPr>
        <w:t xml:space="preserve">  </w:t>
      </w:r>
    </w:p>
    <w:p w14:paraId="75780EB3" w14:textId="75039AA1" w:rsidR="00AB4A4A" w:rsidRPr="00D92CE4" w:rsidRDefault="00AB4A4A" w:rsidP="00EA4787">
      <w:pPr>
        <w:rPr>
          <w:rFonts w:ascii="Arial" w:hAnsi="Arial" w:cs="Arial"/>
          <w:sz w:val="22"/>
          <w:szCs w:val="22"/>
          <w:u w:val="single"/>
        </w:rPr>
      </w:pPr>
      <w:r w:rsidRPr="00D92CE4">
        <w:rPr>
          <w:rFonts w:ascii="Arial" w:hAnsi="Arial" w:cs="Arial"/>
          <w:sz w:val="22"/>
          <w:szCs w:val="22"/>
          <w:u w:val="single"/>
        </w:rPr>
        <w:t>For V3 sequencing</w:t>
      </w:r>
      <w:r w:rsidR="00944A44">
        <w:rPr>
          <w:rFonts w:ascii="Arial" w:hAnsi="Arial" w:cs="Arial"/>
          <w:sz w:val="22"/>
          <w:szCs w:val="22"/>
          <w:u w:val="single"/>
        </w:rPr>
        <w:t xml:space="preserve"> on a </w:t>
      </w:r>
      <w:proofErr w:type="spellStart"/>
      <w:r w:rsidR="00944A44">
        <w:rPr>
          <w:rFonts w:ascii="Arial" w:hAnsi="Arial" w:cs="Arial"/>
          <w:sz w:val="22"/>
          <w:szCs w:val="22"/>
          <w:u w:val="single"/>
        </w:rPr>
        <w:t>NextSeq</w:t>
      </w:r>
      <w:proofErr w:type="spellEnd"/>
      <w:r w:rsidR="00944A44">
        <w:rPr>
          <w:rFonts w:ascii="Arial" w:hAnsi="Arial" w:cs="Arial"/>
          <w:sz w:val="22"/>
          <w:szCs w:val="22"/>
          <w:u w:val="single"/>
        </w:rPr>
        <w:t xml:space="preserve"> 75 cycle kit</w:t>
      </w:r>
      <w:r w:rsidRPr="00D92CE4">
        <w:rPr>
          <w:rFonts w:ascii="Arial" w:hAnsi="Arial" w:cs="Arial"/>
          <w:sz w:val="22"/>
          <w:szCs w:val="22"/>
          <w:u w:val="single"/>
        </w:rPr>
        <w:t xml:space="preserve"> the reads are as follows:  </w:t>
      </w:r>
    </w:p>
    <w:p w14:paraId="3186AD76" w14:textId="6E45A9B5" w:rsidR="00AB4A4A" w:rsidRDefault="00AB4A4A" w:rsidP="00AB4A4A">
      <w:pPr>
        <w:spacing w:after="0"/>
        <w:rPr>
          <w:rFonts w:ascii="Arial" w:hAnsi="Arial" w:cs="Arial"/>
          <w:sz w:val="22"/>
          <w:szCs w:val="22"/>
        </w:rPr>
      </w:pPr>
      <w:r>
        <w:rPr>
          <w:rFonts w:ascii="Arial" w:hAnsi="Arial" w:cs="Arial"/>
          <w:sz w:val="22"/>
          <w:szCs w:val="22"/>
        </w:rPr>
        <w:t>Read 1 – reads into the mRNA</w:t>
      </w:r>
    </w:p>
    <w:p w14:paraId="018C8329" w14:textId="00AEA92C" w:rsidR="00AB4A4A" w:rsidRDefault="00AB4A4A" w:rsidP="00AB4A4A">
      <w:pPr>
        <w:spacing w:after="0"/>
        <w:rPr>
          <w:rFonts w:ascii="Arial" w:hAnsi="Arial" w:cs="Arial"/>
          <w:sz w:val="22"/>
          <w:szCs w:val="22"/>
        </w:rPr>
      </w:pPr>
      <w:r>
        <w:rPr>
          <w:rFonts w:ascii="Arial" w:hAnsi="Arial" w:cs="Arial"/>
          <w:sz w:val="22"/>
          <w:szCs w:val="22"/>
        </w:rPr>
        <w:t>Read 2 – barcode</w:t>
      </w:r>
      <w:r w:rsidR="0012498B">
        <w:rPr>
          <w:rFonts w:ascii="Arial" w:hAnsi="Arial" w:cs="Arial"/>
          <w:sz w:val="22"/>
          <w:szCs w:val="22"/>
        </w:rPr>
        <w:t>/UMI</w:t>
      </w:r>
      <w:r>
        <w:rPr>
          <w:rFonts w:ascii="Arial" w:hAnsi="Arial" w:cs="Arial"/>
          <w:sz w:val="22"/>
          <w:szCs w:val="22"/>
        </w:rPr>
        <w:t xml:space="preserve"> to </w:t>
      </w:r>
      <w:proofErr w:type="spellStart"/>
      <w:r>
        <w:rPr>
          <w:rFonts w:ascii="Arial" w:hAnsi="Arial" w:cs="Arial"/>
          <w:sz w:val="22"/>
          <w:szCs w:val="22"/>
        </w:rPr>
        <w:t>polyA</w:t>
      </w:r>
      <w:proofErr w:type="spellEnd"/>
      <w:r>
        <w:rPr>
          <w:rFonts w:ascii="Arial" w:hAnsi="Arial" w:cs="Arial"/>
          <w:sz w:val="22"/>
          <w:szCs w:val="22"/>
        </w:rPr>
        <w:t xml:space="preserve"> tail</w:t>
      </w:r>
    </w:p>
    <w:p w14:paraId="7D1DC368" w14:textId="1C72357D" w:rsidR="00AB4A4A" w:rsidRDefault="00AB4A4A" w:rsidP="00AB4A4A">
      <w:pPr>
        <w:spacing w:after="0"/>
        <w:rPr>
          <w:rFonts w:ascii="Arial" w:hAnsi="Arial" w:cs="Arial"/>
          <w:sz w:val="22"/>
          <w:szCs w:val="22"/>
        </w:rPr>
      </w:pPr>
      <w:r>
        <w:rPr>
          <w:rFonts w:ascii="Arial" w:hAnsi="Arial" w:cs="Arial"/>
          <w:sz w:val="22"/>
          <w:szCs w:val="22"/>
        </w:rPr>
        <w:t>Index 1 – part of barcode</w:t>
      </w:r>
    </w:p>
    <w:p w14:paraId="647AB1C2" w14:textId="0D2B256C" w:rsidR="00AB4A4A" w:rsidRDefault="00AB4A4A" w:rsidP="00AB4A4A">
      <w:pPr>
        <w:spacing w:after="0"/>
        <w:rPr>
          <w:rFonts w:ascii="Arial" w:hAnsi="Arial" w:cs="Arial"/>
          <w:sz w:val="22"/>
          <w:szCs w:val="22"/>
        </w:rPr>
      </w:pPr>
      <w:r>
        <w:rPr>
          <w:rFonts w:ascii="Arial" w:hAnsi="Arial" w:cs="Arial"/>
          <w:sz w:val="22"/>
          <w:szCs w:val="22"/>
        </w:rPr>
        <w:t>Index 2 – library index</w:t>
      </w:r>
    </w:p>
    <w:p w14:paraId="4B4747B9" w14:textId="399FDD33" w:rsidR="00AB4A4A" w:rsidRDefault="00AB4A4A" w:rsidP="00AB4A4A">
      <w:pPr>
        <w:spacing w:after="0"/>
        <w:rPr>
          <w:rFonts w:ascii="Arial" w:hAnsi="Arial" w:cs="Arial"/>
          <w:sz w:val="22"/>
          <w:szCs w:val="22"/>
        </w:rPr>
      </w:pPr>
    </w:p>
    <w:p w14:paraId="7FE495FC" w14:textId="77777777" w:rsidR="002A399A" w:rsidRDefault="002A399A" w:rsidP="00EA4787">
      <w:pPr>
        <w:rPr>
          <w:rFonts w:ascii="Arial" w:hAnsi="Arial" w:cs="Arial"/>
          <w:sz w:val="22"/>
          <w:szCs w:val="22"/>
        </w:rPr>
      </w:pPr>
    </w:p>
    <w:p w14:paraId="05475E05" w14:textId="2CEFA047" w:rsidR="003E2CBB" w:rsidRPr="00587EAB" w:rsidRDefault="003E2CBB" w:rsidP="00EA4787">
      <w:pPr>
        <w:rPr>
          <w:rFonts w:ascii="Arial" w:hAnsi="Arial" w:cs="Arial"/>
          <w:b/>
          <w:sz w:val="22"/>
          <w:szCs w:val="22"/>
          <w:u w:val="single"/>
        </w:rPr>
      </w:pPr>
      <w:proofErr w:type="spellStart"/>
      <w:r w:rsidRPr="00587EAB">
        <w:rPr>
          <w:rFonts w:ascii="Arial" w:hAnsi="Arial" w:cs="Arial"/>
          <w:b/>
          <w:sz w:val="22"/>
          <w:szCs w:val="22"/>
          <w:u w:val="single"/>
        </w:rPr>
        <w:lastRenderedPageBreak/>
        <w:t>NextSeq</w:t>
      </w:r>
      <w:proofErr w:type="spellEnd"/>
      <w:r w:rsidR="00944A44" w:rsidRPr="00587EAB">
        <w:rPr>
          <w:rFonts w:ascii="Arial" w:hAnsi="Arial" w:cs="Arial"/>
          <w:b/>
          <w:sz w:val="22"/>
          <w:szCs w:val="22"/>
          <w:u w:val="single"/>
        </w:rPr>
        <w:t xml:space="preserve"> 75 cycle kit</w:t>
      </w:r>
      <w:r w:rsidRPr="00587EAB">
        <w:rPr>
          <w:rFonts w:ascii="Arial" w:hAnsi="Arial" w:cs="Arial"/>
          <w:b/>
          <w:sz w:val="22"/>
          <w:szCs w:val="22"/>
          <w:u w:val="single"/>
        </w:rPr>
        <w:t xml:space="preserve"> run of </w:t>
      </w:r>
      <w:r w:rsidR="00AB4A4A" w:rsidRPr="00587EAB">
        <w:rPr>
          <w:rFonts w:ascii="Arial" w:hAnsi="Arial" w:cs="Arial"/>
          <w:b/>
          <w:sz w:val="22"/>
          <w:szCs w:val="22"/>
          <w:u w:val="single"/>
        </w:rPr>
        <w:t xml:space="preserve">V3 </w:t>
      </w:r>
      <w:r w:rsidRPr="00587EAB">
        <w:rPr>
          <w:rFonts w:ascii="Arial" w:hAnsi="Arial" w:cs="Arial"/>
          <w:b/>
          <w:sz w:val="22"/>
          <w:szCs w:val="22"/>
          <w:u w:val="single"/>
        </w:rPr>
        <w:t>libraries</w:t>
      </w:r>
    </w:p>
    <w:p w14:paraId="05CEEEBC" w14:textId="0B819540" w:rsidR="00792508" w:rsidRPr="00587EAB" w:rsidRDefault="00792508" w:rsidP="00EA4787">
      <w:pPr>
        <w:rPr>
          <w:rFonts w:ascii="Arial" w:hAnsi="Arial" w:cs="Arial"/>
          <w:b/>
          <w:sz w:val="22"/>
          <w:szCs w:val="22"/>
          <w:u w:val="single"/>
        </w:rPr>
      </w:pPr>
      <w:r w:rsidRPr="00587EAB">
        <w:rPr>
          <w:rFonts w:ascii="Arial" w:hAnsi="Arial" w:cs="Arial"/>
          <w:b/>
          <w:sz w:val="22"/>
          <w:szCs w:val="22"/>
          <w:u w:val="single"/>
        </w:rPr>
        <w:t xml:space="preserve">please give your core the following set up </w:t>
      </w:r>
      <w:r w:rsidR="003E2CBB" w:rsidRPr="00587EAB">
        <w:rPr>
          <w:rFonts w:ascii="Arial" w:hAnsi="Arial" w:cs="Arial"/>
          <w:b/>
          <w:sz w:val="22"/>
          <w:szCs w:val="22"/>
          <w:u w:val="single"/>
        </w:rPr>
        <w:t>parameters</w:t>
      </w:r>
      <w:r w:rsidRPr="00587EAB">
        <w:rPr>
          <w:rFonts w:ascii="Arial" w:hAnsi="Arial" w:cs="Arial"/>
          <w:b/>
          <w:sz w:val="22"/>
          <w:szCs w:val="22"/>
          <w:u w:val="single"/>
        </w:rPr>
        <w:t>:</w:t>
      </w:r>
    </w:p>
    <w:p w14:paraId="4CC959F9" w14:textId="3833DA35" w:rsidR="00792508" w:rsidRPr="00117C5F" w:rsidRDefault="00792508"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Platform   </w:t>
      </w:r>
      <w:proofErr w:type="spellStart"/>
      <w:r w:rsidRPr="00117C5F">
        <w:rPr>
          <w:rFonts w:ascii="Arial" w:eastAsia="Times New Roman" w:hAnsi="Arial" w:cs="Arial"/>
          <w:color w:val="212121"/>
          <w:sz w:val="22"/>
          <w:szCs w:val="22"/>
          <w:lang w:eastAsia="en-US"/>
        </w:rPr>
        <w:t>NextSeq</w:t>
      </w:r>
      <w:proofErr w:type="spellEnd"/>
    </w:p>
    <w:p w14:paraId="638D739C" w14:textId="77777777" w:rsidR="00792508" w:rsidRPr="00117C5F" w:rsidRDefault="00792508"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RE-HYB   No</w:t>
      </w:r>
    </w:p>
    <w:p w14:paraId="44990376" w14:textId="77777777" w:rsidR="00792508" w:rsidRPr="00117C5F" w:rsidRDefault="00792508"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Read type   Paired-end</w:t>
      </w:r>
    </w:p>
    <w:p w14:paraId="3D268CE6" w14:textId="442719BA" w:rsidR="00792508" w:rsidRPr="00117C5F" w:rsidRDefault="00CE63EE"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Cycles read1   61</w:t>
      </w:r>
    </w:p>
    <w:p w14:paraId="0AF834E4" w14:textId="2DBFA615" w:rsidR="00792508" w:rsidRPr="00117C5F" w:rsidRDefault="00CE63EE"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Cycles read2   14</w:t>
      </w:r>
    </w:p>
    <w:p w14:paraId="6F11C06E" w14:textId="77777777" w:rsidR="00792508" w:rsidRPr="00117C5F" w:rsidRDefault="00792508"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 xml:space="preserve">Indexing   </w:t>
      </w:r>
      <w:proofErr w:type="spellStart"/>
      <w:r w:rsidRPr="00117C5F">
        <w:rPr>
          <w:rFonts w:ascii="Arial" w:eastAsia="Times New Roman" w:hAnsi="Arial" w:cs="Arial"/>
          <w:color w:val="212121"/>
          <w:sz w:val="22"/>
          <w:szCs w:val="22"/>
          <w:lang w:eastAsia="en-US"/>
        </w:rPr>
        <w:t>DualIndex</w:t>
      </w:r>
      <w:proofErr w:type="spellEnd"/>
    </w:p>
    <w:p w14:paraId="17101F3E" w14:textId="77777777" w:rsidR="00792508" w:rsidRPr="00117C5F" w:rsidRDefault="00792508"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Cycles index 1   8</w:t>
      </w:r>
    </w:p>
    <w:p w14:paraId="608B5AEC" w14:textId="77777777" w:rsidR="00792508" w:rsidRPr="00117C5F" w:rsidRDefault="00792508"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Cycles index 2   8</w:t>
      </w:r>
    </w:p>
    <w:p w14:paraId="5D2C01EC" w14:textId="77777777" w:rsidR="00792508" w:rsidRPr="00792508" w:rsidRDefault="00792508" w:rsidP="00792508">
      <w:pPr>
        <w:shd w:val="clear" w:color="auto" w:fill="FFFFFF"/>
        <w:spacing w:after="0"/>
        <w:rPr>
          <w:rFonts w:ascii="Arial" w:eastAsia="Times New Roman" w:hAnsi="Arial" w:cs="Arial"/>
          <w:color w:val="212121"/>
          <w:sz w:val="22"/>
          <w:szCs w:val="22"/>
          <w:lang w:eastAsia="en-US"/>
        </w:rPr>
      </w:pPr>
      <w:r w:rsidRPr="00117C5F">
        <w:rPr>
          <w:rFonts w:ascii="Arial" w:eastAsia="Times New Roman" w:hAnsi="Arial" w:cs="Arial"/>
          <w:color w:val="212121"/>
          <w:sz w:val="22"/>
          <w:szCs w:val="22"/>
          <w:lang w:eastAsia="en-US"/>
        </w:rPr>
        <w:t>No custom primers</w:t>
      </w:r>
    </w:p>
    <w:p w14:paraId="561346A4" w14:textId="14709376" w:rsidR="00792508" w:rsidRDefault="00792508" w:rsidP="00EA4787">
      <w:pPr>
        <w:rPr>
          <w:rFonts w:ascii="Arial" w:hAnsi="Arial" w:cs="Arial"/>
          <w:sz w:val="22"/>
          <w:szCs w:val="22"/>
        </w:rPr>
      </w:pPr>
    </w:p>
    <w:p w14:paraId="3D850CC2" w14:textId="77777777" w:rsidR="00117C5F" w:rsidRDefault="00117C5F" w:rsidP="00135D08">
      <w:pPr>
        <w:spacing w:after="0"/>
        <w:rPr>
          <w:rFonts w:ascii="Arial" w:hAnsi="Arial" w:cs="Arial"/>
          <w:sz w:val="22"/>
          <w:szCs w:val="22"/>
        </w:rPr>
      </w:pPr>
    </w:p>
    <w:p w14:paraId="2A0CE86A" w14:textId="6C4C1315" w:rsidR="00117C5F" w:rsidRDefault="00135D08" w:rsidP="00135D08">
      <w:pPr>
        <w:spacing w:after="0"/>
        <w:rPr>
          <w:rFonts w:ascii="Arial" w:hAnsi="Arial" w:cs="Arial"/>
          <w:sz w:val="22"/>
          <w:szCs w:val="22"/>
        </w:rPr>
      </w:pPr>
      <w:r>
        <w:rPr>
          <w:rFonts w:ascii="Arial" w:hAnsi="Arial" w:cs="Arial"/>
          <w:sz w:val="22"/>
          <w:szCs w:val="22"/>
        </w:rPr>
        <w:t xml:space="preserve">The </w:t>
      </w:r>
      <w:r w:rsidRPr="00135D08">
        <w:rPr>
          <w:rFonts w:ascii="Arial" w:hAnsi="Arial" w:cs="Arial"/>
          <w:sz w:val="22"/>
          <w:szCs w:val="22"/>
        </w:rPr>
        <w:t>i5 indexes</w:t>
      </w:r>
      <w:r>
        <w:rPr>
          <w:rFonts w:ascii="Arial" w:hAnsi="Arial" w:cs="Arial"/>
          <w:sz w:val="22"/>
          <w:szCs w:val="22"/>
        </w:rPr>
        <w:t xml:space="preserve"> (Index </w:t>
      </w:r>
      <w:r w:rsidR="00205FDF">
        <w:rPr>
          <w:rFonts w:ascii="Arial" w:hAnsi="Arial" w:cs="Arial"/>
          <w:sz w:val="22"/>
          <w:szCs w:val="22"/>
        </w:rPr>
        <w:t>2</w:t>
      </w:r>
      <w:r>
        <w:rPr>
          <w:rFonts w:ascii="Arial" w:hAnsi="Arial" w:cs="Arial"/>
          <w:sz w:val="22"/>
          <w:szCs w:val="22"/>
        </w:rPr>
        <w:t>)</w:t>
      </w:r>
      <w:r w:rsidRPr="00135D08">
        <w:rPr>
          <w:rFonts w:ascii="Arial" w:hAnsi="Arial" w:cs="Arial"/>
          <w:sz w:val="22"/>
          <w:szCs w:val="22"/>
        </w:rPr>
        <w:t xml:space="preserve"> are </w:t>
      </w:r>
      <w:r>
        <w:rPr>
          <w:rFonts w:ascii="Arial" w:hAnsi="Arial" w:cs="Arial"/>
          <w:sz w:val="22"/>
          <w:szCs w:val="22"/>
        </w:rPr>
        <w:t>the</w:t>
      </w:r>
      <w:r w:rsidRPr="00135D08">
        <w:rPr>
          <w:rFonts w:ascii="Arial" w:hAnsi="Arial" w:cs="Arial"/>
          <w:sz w:val="22"/>
          <w:szCs w:val="22"/>
        </w:rPr>
        <w:t xml:space="preserve"> library indexes</w:t>
      </w:r>
      <w:r>
        <w:rPr>
          <w:rFonts w:ascii="Arial" w:hAnsi="Arial" w:cs="Arial"/>
          <w:sz w:val="22"/>
          <w:szCs w:val="22"/>
        </w:rPr>
        <w:t xml:space="preserve"> we give to each sample or group of up to 3000 cells. </w:t>
      </w:r>
    </w:p>
    <w:p w14:paraId="746166BD" w14:textId="7F5AEEB6" w:rsidR="00117C5F" w:rsidRDefault="00135D08" w:rsidP="00135D08">
      <w:pPr>
        <w:spacing w:after="0"/>
        <w:rPr>
          <w:rFonts w:ascii="Arial" w:hAnsi="Arial" w:cs="Arial"/>
          <w:sz w:val="22"/>
          <w:szCs w:val="22"/>
        </w:rPr>
      </w:pPr>
      <w:r>
        <w:rPr>
          <w:rFonts w:ascii="Arial" w:hAnsi="Arial" w:cs="Arial"/>
          <w:sz w:val="22"/>
          <w:szCs w:val="22"/>
        </w:rPr>
        <w:t>The</w:t>
      </w:r>
      <w:r w:rsidR="00117C5F">
        <w:rPr>
          <w:rFonts w:ascii="Arial" w:hAnsi="Arial" w:cs="Arial"/>
          <w:sz w:val="22"/>
          <w:szCs w:val="22"/>
        </w:rPr>
        <w:t xml:space="preserve"> cell barcode is made up of two 8pb sequences that are random combinations of</w:t>
      </w:r>
      <w:r w:rsidRPr="00135D08">
        <w:rPr>
          <w:rFonts w:ascii="Arial" w:hAnsi="Arial" w:cs="Arial"/>
          <w:sz w:val="22"/>
          <w:szCs w:val="22"/>
        </w:rPr>
        <w:t xml:space="preserve"> 384 </w:t>
      </w:r>
      <w:r w:rsidR="00117C5F">
        <w:rPr>
          <w:rFonts w:ascii="Arial" w:hAnsi="Arial" w:cs="Arial"/>
          <w:sz w:val="22"/>
          <w:szCs w:val="22"/>
        </w:rPr>
        <w:t>8bp sequences. The first of these is sequenced in</w:t>
      </w:r>
      <w:r w:rsidRPr="00135D08">
        <w:rPr>
          <w:rFonts w:ascii="Arial" w:hAnsi="Arial" w:cs="Arial"/>
          <w:sz w:val="22"/>
          <w:szCs w:val="22"/>
        </w:rPr>
        <w:t xml:space="preserve"> the i7 sequenc</w:t>
      </w:r>
      <w:r w:rsidR="00117C5F">
        <w:rPr>
          <w:rFonts w:ascii="Arial" w:hAnsi="Arial" w:cs="Arial"/>
          <w:sz w:val="22"/>
          <w:szCs w:val="22"/>
        </w:rPr>
        <w:t>ing read</w:t>
      </w:r>
      <w:r w:rsidRPr="00135D08">
        <w:rPr>
          <w:rFonts w:ascii="Arial" w:hAnsi="Arial" w:cs="Arial"/>
          <w:sz w:val="22"/>
          <w:szCs w:val="22"/>
        </w:rPr>
        <w:t xml:space="preserve"> in our samples (single-cell barcodes)</w:t>
      </w:r>
      <w:r w:rsidR="00117C5F">
        <w:rPr>
          <w:rFonts w:ascii="Arial" w:hAnsi="Arial" w:cs="Arial"/>
          <w:sz w:val="22"/>
          <w:szCs w:val="22"/>
        </w:rPr>
        <w:t>, which are read as</w:t>
      </w:r>
      <w:r>
        <w:rPr>
          <w:rFonts w:ascii="Arial" w:hAnsi="Arial" w:cs="Arial"/>
          <w:sz w:val="22"/>
          <w:szCs w:val="22"/>
        </w:rPr>
        <w:t xml:space="preserve"> Index </w:t>
      </w:r>
      <w:r w:rsidR="00205FDF">
        <w:rPr>
          <w:rFonts w:ascii="Arial" w:hAnsi="Arial" w:cs="Arial"/>
          <w:sz w:val="22"/>
          <w:szCs w:val="22"/>
        </w:rPr>
        <w:t>1</w:t>
      </w:r>
      <w:r w:rsidR="00117C5F">
        <w:rPr>
          <w:rFonts w:ascii="Arial" w:hAnsi="Arial" w:cs="Arial"/>
          <w:sz w:val="22"/>
          <w:szCs w:val="22"/>
        </w:rPr>
        <w:t>. The second half of the cell barcode is read in the first 8bp of the Read2 followed by the 6bp UMI read.</w:t>
      </w:r>
    </w:p>
    <w:p w14:paraId="5E84BA38" w14:textId="77777777" w:rsidR="002A399A" w:rsidRDefault="002A399A" w:rsidP="00135D08">
      <w:pPr>
        <w:spacing w:after="0"/>
        <w:rPr>
          <w:rFonts w:ascii="Arial" w:hAnsi="Arial" w:cs="Arial"/>
          <w:sz w:val="22"/>
          <w:szCs w:val="22"/>
        </w:rPr>
      </w:pPr>
    </w:p>
    <w:p w14:paraId="756AFD1F" w14:textId="247D760A" w:rsidR="00117C5F" w:rsidRDefault="00117C5F" w:rsidP="00135D08">
      <w:pPr>
        <w:spacing w:after="0"/>
        <w:rPr>
          <w:rFonts w:ascii="Arial" w:hAnsi="Arial" w:cs="Arial"/>
          <w:sz w:val="22"/>
          <w:szCs w:val="22"/>
        </w:rPr>
      </w:pPr>
    </w:p>
    <w:p w14:paraId="7C262722" w14:textId="72A852D4" w:rsidR="00117C5F" w:rsidRDefault="00587EAB" w:rsidP="00135D08">
      <w:pPr>
        <w:spacing w:after="0"/>
        <w:rPr>
          <w:rFonts w:ascii="Arial" w:hAnsi="Arial" w:cs="Arial"/>
          <w:sz w:val="22"/>
          <w:szCs w:val="22"/>
        </w:rPr>
      </w:pPr>
      <w:r>
        <w:rPr>
          <w:rFonts w:ascii="Arial" w:hAnsi="Arial" w:cs="Arial"/>
          <w:sz w:val="22"/>
          <w:szCs w:val="22"/>
        </w:rPr>
        <w:t xml:space="preserve">     </w:t>
      </w:r>
      <w:r w:rsidR="00117C5F">
        <w:rPr>
          <w:noProof/>
          <w:lang w:eastAsia="en-US"/>
        </w:rPr>
        <w:drawing>
          <wp:inline distT="0" distB="0" distL="0" distR="0" wp14:anchorId="627E231E" wp14:editId="3CDB1D65">
            <wp:extent cx="5960899" cy="4304263"/>
            <wp:effectExtent l="0" t="0" r="190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66077" cy="4308002"/>
                    </a:xfrm>
                    <a:prstGeom prst="rect">
                      <a:avLst/>
                    </a:prstGeom>
                  </pic:spPr>
                </pic:pic>
              </a:graphicData>
            </a:graphic>
          </wp:inline>
        </w:drawing>
      </w:r>
    </w:p>
    <w:p w14:paraId="16923E31" w14:textId="77777777" w:rsidR="002A399A" w:rsidRDefault="002A399A" w:rsidP="00135D08">
      <w:pPr>
        <w:spacing w:after="0"/>
        <w:rPr>
          <w:rFonts w:ascii="Arial" w:hAnsi="Arial" w:cs="Arial"/>
          <w:sz w:val="22"/>
          <w:szCs w:val="22"/>
        </w:rPr>
      </w:pPr>
    </w:p>
    <w:p w14:paraId="7DDDFC67" w14:textId="24E8EB29" w:rsidR="00232433" w:rsidRDefault="00135D08" w:rsidP="00135D08">
      <w:pPr>
        <w:spacing w:after="0"/>
        <w:rPr>
          <w:rFonts w:ascii="Arial" w:hAnsi="Arial" w:cs="Arial"/>
          <w:sz w:val="22"/>
          <w:szCs w:val="22"/>
        </w:rPr>
      </w:pPr>
      <w:r>
        <w:rPr>
          <w:rFonts w:ascii="Arial" w:hAnsi="Arial" w:cs="Arial"/>
          <w:sz w:val="22"/>
          <w:szCs w:val="22"/>
        </w:rPr>
        <w:t>When setting up your sample sheet for the run you should just e</w:t>
      </w:r>
      <w:r w:rsidRPr="00135D08">
        <w:rPr>
          <w:rFonts w:ascii="Arial" w:hAnsi="Arial" w:cs="Arial"/>
          <w:sz w:val="22"/>
          <w:szCs w:val="22"/>
        </w:rPr>
        <w:t>nter an arbitrary sequence for i5</w:t>
      </w:r>
      <w:r>
        <w:rPr>
          <w:rFonts w:ascii="Arial" w:hAnsi="Arial" w:cs="Arial"/>
          <w:sz w:val="22"/>
          <w:szCs w:val="22"/>
        </w:rPr>
        <w:t xml:space="preserve"> and i7 (Index 1 and 2)</w:t>
      </w:r>
      <w:r w:rsidRPr="00135D08">
        <w:rPr>
          <w:rFonts w:ascii="Arial" w:hAnsi="Arial" w:cs="Arial"/>
          <w:sz w:val="22"/>
          <w:szCs w:val="22"/>
        </w:rPr>
        <w:t xml:space="preserve">. Don’t worry about </w:t>
      </w:r>
      <w:proofErr w:type="spellStart"/>
      <w:r w:rsidRPr="00135D08">
        <w:rPr>
          <w:rFonts w:ascii="Arial" w:hAnsi="Arial" w:cs="Arial"/>
          <w:sz w:val="22"/>
          <w:szCs w:val="22"/>
        </w:rPr>
        <w:t>demultiplexing</w:t>
      </w:r>
      <w:proofErr w:type="spellEnd"/>
      <w:r w:rsidRPr="00135D08">
        <w:rPr>
          <w:rFonts w:ascii="Arial" w:hAnsi="Arial" w:cs="Arial"/>
          <w:sz w:val="22"/>
          <w:szCs w:val="22"/>
        </w:rPr>
        <w:t xml:space="preserve"> the sample and generating </w:t>
      </w:r>
      <w:proofErr w:type="spellStart"/>
      <w:r w:rsidRPr="00135D08">
        <w:rPr>
          <w:rFonts w:ascii="Arial" w:hAnsi="Arial" w:cs="Arial"/>
          <w:sz w:val="22"/>
          <w:szCs w:val="22"/>
        </w:rPr>
        <w:t>fastq</w:t>
      </w:r>
      <w:proofErr w:type="spellEnd"/>
      <w:r w:rsidRPr="00135D08">
        <w:rPr>
          <w:rFonts w:ascii="Arial" w:hAnsi="Arial" w:cs="Arial"/>
          <w:sz w:val="22"/>
          <w:szCs w:val="22"/>
        </w:rPr>
        <w:t xml:space="preserve"> files</w:t>
      </w:r>
      <w:r w:rsidR="00030A76">
        <w:rPr>
          <w:rFonts w:ascii="Arial" w:hAnsi="Arial" w:cs="Arial"/>
          <w:sz w:val="22"/>
          <w:szCs w:val="22"/>
        </w:rPr>
        <w:t xml:space="preserve">.  This </w:t>
      </w:r>
      <w:proofErr w:type="spellStart"/>
      <w:r w:rsidR="00030A76">
        <w:rPr>
          <w:rFonts w:ascii="Arial" w:hAnsi="Arial" w:cs="Arial"/>
          <w:sz w:val="22"/>
          <w:szCs w:val="22"/>
        </w:rPr>
        <w:t>demultiplexing</w:t>
      </w:r>
      <w:proofErr w:type="spellEnd"/>
      <w:r w:rsidR="00030A76">
        <w:rPr>
          <w:rFonts w:ascii="Arial" w:hAnsi="Arial" w:cs="Arial"/>
          <w:sz w:val="22"/>
          <w:szCs w:val="22"/>
        </w:rPr>
        <w:t xml:space="preserve"> will be done afterwards </w:t>
      </w:r>
      <w:proofErr w:type="spellStart"/>
      <w:r w:rsidR="00030A76">
        <w:rPr>
          <w:rFonts w:ascii="Arial" w:hAnsi="Arial" w:cs="Arial"/>
          <w:sz w:val="22"/>
          <w:szCs w:val="22"/>
        </w:rPr>
        <w:t>bioinformatically</w:t>
      </w:r>
      <w:proofErr w:type="spellEnd"/>
      <w:r w:rsidR="00030A76">
        <w:rPr>
          <w:rFonts w:ascii="Arial" w:hAnsi="Arial" w:cs="Arial"/>
          <w:sz w:val="22"/>
          <w:szCs w:val="22"/>
        </w:rPr>
        <w:t xml:space="preserve">.  </w:t>
      </w:r>
    </w:p>
    <w:p w14:paraId="646FB55B" w14:textId="77777777" w:rsidR="00232433" w:rsidRDefault="00232433" w:rsidP="00135D08">
      <w:pPr>
        <w:spacing w:after="0"/>
        <w:rPr>
          <w:rFonts w:ascii="Arial" w:hAnsi="Arial" w:cs="Arial"/>
          <w:sz w:val="22"/>
          <w:szCs w:val="22"/>
        </w:rPr>
      </w:pPr>
    </w:p>
    <w:p w14:paraId="187B6171" w14:textId="593D40E0" w:rsidR="00E63920" w:rsidRDefault="00030A76" w:rsidP="00135D08">
      <w:pPr>
        <w:spacing w:after="0"/>
        <w:rPr>
          <w:rFonts w:ascii="Arial" w:hAnsi="Arial" w:cs="Arial"/>
          <w:sz w:val="22"/>
          <w:szCs w:val="22"/>
        </w:rPr>
      </w:pPr>
      <w:r>
        <w:rPr>
          <w:rFonts w:ascii="Arial" w:hAnsi="Arial" w:cs="Arial"/>
          <w:sz w:val="22"/>
          <w:szCs w:val="22"/>
        </w:rPr>
        <w:t xml:space="preserve">You either need the core to give you the </w:t>
      </w:r>
      <w:proofErr w:type="spellStart"/>
      <w:r>
        <w:rPr>
          <w:rFonts w:ascii="Arial" w:hAnsi="Arial" w:cs="Arial"/>
          <w:sz w:val="22"/>
          <w:szCs w:val="22"/>
        </w:rPr>
        <w:t>fastq</w:t>
      </w:r>
      <w:proofErr w:type="spellEnd"/>
      <w:r>
        <w:rPr>
          <w:rFonts w:ascii="Arial" w:hAnsi="Arial" w:cs="Arial"/>
          <w:sz w:val="22"/>
          <w:szCs w:val="22"/>
        </w:rPr>
        <w:t xml:space="preserve"> files for all reads – Read 1 and 2 and Index 1 and 2 – as well as reads from the undetermined file. If your core can not give you these </w:t>
      </w:r>
      <w:proofErr w:type="gramStart"/>
      <w:r>
        <w:rPr>
          <w:rFonts w:ascii="Arial" w:hAnsi="Arial" w:cs="Arial"/>
          <w:sz w:val="22"/>
          <w:szCs w:val="22"/>
        </w:rPr>
        <w:t>files</w:t>
      </w:r>
      <w:proofErr w:type="gramEnd"/>
      <w:r>
        <w:rPr>
          <w:rFonts w:ascii="Arial" w:hAnsi="Arial" w:cs="Arial"/>
          <w:sz w:val="22"/>
          <w:szCs w:val="22"/>
        </w:rPr>
        <w:t xml:space="preserve"> then y</w:t>
      </w:r>
      <w:r w:rsidR="00E63920">
        <w:rPr>
          <w:rFonts w:ascii="Arial" w:hAnsi="Arial" w:cs="Arial"/>
          <w:sz w:val="22"/>
          <w:szCs w:val="22"/>
        </w:rPr>
        <w:t>ou</w:t>
      </w:r>
      <w:r w:rsidR="00135D08" w:rsidRPr="00135D08">
        <w:rPr>
          <w:rFonts w:ascii="Arial" w:hAnsi="Arial" w:cs="Arial"/>
          <w:sz w:val="22"/>
          <w:szCs w:val="22"/>
        </w:rPr>
        <w:t xml:space="preserve"> need </w:t>
      </w:r>
      <w:r>
        <w:rPr>
          <w:rFonts w:ascii="Arial" w:hAnsi="Arial" w:cs="Arial"/>
          <w:sz w:val="22"/>
          <w:szCs w:val="22"/>
        </w:rPr>
        <w:t>the</w:t>
      </w:r>
      <w:r w:rsidR="00135D08" w:rsidRPr="00135D08">
        <w:rPr>
          <w:rFonts w:ascii="Arial" w:hAnsi="Arial" w:cs="Arial"/>
          <w:sz w:val="22"/>
          <w:szCs w:val="22"/>
        </w:rPr>
        <w:t xml:space="preserve"> RAW BCL</w:t>
      </w:r>
      <w:r>
        <w:rPr>
          <w:rFonts w:ascii="Arial" w:hAnsi="Arial" w:cs="Arial"/>
          <w:sz w:val="22"/>
          <w:szCs w:val="22"/>
        </w:rPr>
        <w:t xml:space="preserve"> files</w:t>
      </w:r>
      <w:r w:rsidR="002A399A">
        <w:rPr>
          <w:rFonts w:ascii="Arial" w:hAnsi="Arial" w:cs="Arial"/>
          <w:sz w:val="22"/>
          <w:szCs w:val="22"/>
        </w:rPr>
        <w:t xml:space="preserve"> for all four sequencing reads</w:t>
      </w:r>
      <w:r w:rsidR="00135D08" w:rsidRPr="00135D08">
        <w:rPr>
          <w:rFonts w:ascii="Arial" w:hAnsi="Arial" w:cs="Arial"/>
          <w:sz w:val="22"/>
          <w:szCs w:val="22"/>
        </w:rPr>
        <w:t xml:space="preserve">. </w:t>
      </w:r>
      <w:r w:rsidR="00E63920">
        <w:rPr>
          <w:rFonts w:ascii="Arial" w:hAnsi="Arial" w:cs="Arial"/>
          <w:sz w:val="22"/>
          <w:szCs w:val="22"/>
        </w:rPr>
        <w:t xml:space="preserve">What this means is that all of your data will go to one “undetermined file” off the instrument because none of the index reads will match what the instrument is expected to see. Pipelines for </w:t>
      </w:r>
      <w:proofErr w:type="spellStart"/>
      <w:r w:rsidR="00E63920">
        <w:rPr>
          <w:rFonts w:ascii="Arial" w:hAnsi="Arial" w:cs="Arial"/>
          <w:sz w:val="22"/>
          <w:szCs w:val="22"/>
        </w:rPr>
        <w:t>demultiplexing</w:t>
      </w:r>
      <w:proofErr w:type="spellEnd"/>
      <w:r w:rsidR="00E63920">
        <w:rPr>
          <w:rFonts w:ascii="Arial" w:hAnsi="Arial" w:cs="Arial"/>
          <w:sz w:val="22"/>
          <w:szCs w:val="22"/>
        </w:rPr>
        <w:t xml:space="preserve"> all of this exist through the Chan Bioinformatics core.</w:t>
      </w:r>
    </w:p>
    <w:p w14:paraId="0A83E32C" w14:textId="77777777" w:rsidR="00E63920" w:rsidRDefault="00E63920" w:rsidP="00135D08">
      <w:pPr>
        <w:spacing w:after="0"/>
        <w:rPr>
          <w:rFonts w:ascii="Arial" w:hAnsi="Arial" w:cs="Arial"/>
          <w:sz w:val="22"/>
          <w:szCs w:val="22"/>
        </w:rPr>
      </w:pPr>
    </w:p>
    <w:p w14:paraId="655FFD24" w14:textId="0A0D1E5A" w:rsidR="00117C5F" w:rsidRDefault="00117C5F" w:rsidP="00135D08">
      <w:pPr>
        <w:spacing w:after="0"/>
        <w:rPr>
          <w:rFonts w:ascii="Arial" w:hAnsi="Arial" w:cs="Arial"/>
          <w:sz w:val="22"/>
          <w:szCs w:val="22"/>
          <w:u w:val="single"/>
        </w:rPr>
      </w:pPr>
    </w:p>
    <w:p w14:paraId="64D9B29A" w14:textId="77777777" w:rsidR="00117C5F" w:rsidRDefault="00117C5F" w:rsidP="00135D08">
      <w:pPr>
        <w:spacing w:after="0"/>
        <w:rPr>
          <w:rFonts w:ascii="Arial" w:hAnsi="Arial" w:cs="Arial"/>
          <w:sz w:val="22"/>
          <w:szCs w:val="22"/>
          <w:u w:val="single"/>
        </w:rPr>
      </w:pPr>
    </w:p>
    <w:p w14:paraId="3DFD4370" w14:textId="40DDFE03" w:rsidR="002A399A" w:rsidRPr="002A399A" w:rsidRDefault="002A399A" w:rsidP="00135D08">
      <w:pPr>
        <w:spacing w:after="0"/>
        <w:rPr>
          <w:rFonts w:ascii="Arial" w:hAnsi="Arial" w:cs="Arial"/>
          <w:sz w:val="22"/>
          <w:szCs w:val="22"/>
        </w:rPr>
      </w:pPr>
      <w:r w:rsidRPr="002A399A">
        <w:rPr>
          <w:rFonts w:ascii="Arial" w:hAnsi="Arial" w:cs="Arial"/>
          <w:sz w:val="22"/>
          <w:szCs w:val="22"/>
        </w:rPr>
        <w:t xml:space="preserve">These are the sequences of the sample </w:t>
      </w:r>
      <w:r w:rsidR="003A395A" w:rsidRPr="002A399A">
        <w:rPr>
          <w:rFonts w:ascii="Arial" w:hAnsi="Arial" w:cs="Arial"/>
          <w:sz w:val="22"/>
          <w:szCs w:val="22"/>
        </w:rPr>
        <w:t>indices</w:t>
      </w:r>
      <w:r w:rsidRPr="002A399A">
        <w:rPr>
          <w:rFonts w:ascii="Arial" w:hAnsi="Arial" w:cs="Arial"/>
          <w:sz w:val="22"/>
          <w:szCs w:val="22"/>
        </w:rPr>
        <w:t xml:space="preserve"> used on V3 libraries:</w:t>
      </w:r>
    </w:p>
    <w:p w14:paraId="3D226601" w14:textId="77777777" w:rsidR="003A395A" w:rsidRDefault="003A395A" w:rsidP="003A395A">
      <w:pPr>
        <w:spacing w:after="0"/>
        <w:ind w:left="720"/>
        <w:rPr>
          <w:rFonts w:ascii="Arial" w:hAnsi="Arial" w:cs="Arial"/>
          <w:sz w:val="22"/>
          <w:szCs w:val="22"/>
          <w:u w:val="single"/>
        </w:rPr>
      </w:pPr>
    </w:p>
    <w:p w14:paraId="4C694FA0" w14:textId="1F669302" w:rsidR="00135D08" w:rsidRPr="00135D08" w:rsidRDefault="00135D08" w:rsidP="003A395A">
      <w:pPr>
        <w:spacing w:after="0"/>
        <w:ind w:left="720"/>
        <w:rPr>
          <w:rFonts w:ascii="Arial" w:hAnsi="Arial" w:cs="Arial"/>
          <w:sz w:val="22"/>
          <w:szCs w:val="22"/>
          <w:u w:val="single"/>
        </w:rPr>
      </w:pPr>
      <w:r w:rsidRPr="00135D08">
        <w:rPr>
          <w:rFonts w:ascii="Arial" w:hAnsi="Arial" w:cs="Arial"/>
          <w:sz w:val="22"/>
          <w:szCs w:val="22"/>
          <w:u w:val="single"/>
        </w:rPr>
        <w:t>V</w:t>
      </w:r>
      <w:r>
        <w:rPr>
          <w:rFonts w:ascii="Arial" w:hAnsi="Arial" w:cs="Arial"/>
          <w:sz w:val="22"/>
          <w:szCs w:val="22"/>
          <w:u w:val="single"/>
        </w:rPr>
        <w:t>3</w:t>
      </w:r>
      <w:r w:rsidRPr="00135D08">
        <w:rPr>
          <w:rFonts w:ascii="Arial" w:hAnsi="Arial" w:cs="Arial"/>
          <w:sz w:val="22"/>
          <w:szCs w:val="22"/>
          <w:u w:val="single"/>
        </w:rPr>
        <w:t xml:space="preserve"> </w:t>
      </w:r>
      <w:r>
        <w:rPr>
          <w:rFonts w:ascii="Arial" w:hAnsi="Arial" w:cs="Arial"/>
          <w:sz w:val="22"/>
          <w:szCs w:val="22"/>
          <w:u w:val="single"/>
        </w:rPr>
        <w:t>Index 1 sequences</w:t>
      </w:r>
    </w:p>
    <w:p w14:paraId="474ACBBE" w14:textId="29781696" w:rsidR="00135D08" w:rsidRDefault="00135D08" w:rsidP="003A395A">
      <w:pPr>
        <w:spacing w:after="0"/>
        <w:ind w:left="720"/>
        <w:rPr>
          <w:rFonts w:ascii="Arial" w:hAnsi="Arial" w:cs="Arial"/>
          <w:sz w:val="22"/>
          <w:szCs w:val="22"/>
        </w:rPr>
      </w:pPr>
    </w:p>
    <w:p w14:paraId="6E73DAD8" w14:textId="41D3871F" w:rsidR="00135D08" w:rsidRPr="00135D08" w:rsidRDefault="00135D08" w:rsidP="003A395A">
      <w:pPr>
        <w:spacing w:after="0"/>
        <w:ind w:left="720"/>
        <w:rPr>
          <w:rFonts w:ascii="Arial" w:hAnsi="Arial" w:cs="Arial"/>
          <w:sz w:val="22"/>
          <w:szCs w:val="22"/>
        </w:rPr>
      </w:pPr>
      <w:r>
        <w:rPr>
          <w:rFonts w:ascii="Arial" w:hAnsi="Arial" w:cs="Arial"/>
          <w:sz w:val="22"/>
          <w:szCs w:val="22"/>
        </w:rPr>
        <w:t>idx</w:t>
      </w:r>
      <w:r w:rsidRPr="00135D08">
        <w:rPr>
          <w:rFonts w:ascii="Arial" w:hAnsi="Arial" w:cs="Arial"/>
          <w:sz w:val="22"/>
          <w:szCs w:val="22"/>
        </w:rPr>
        <w:t>1</w:t>
      </w:r>
      <w:r w:rsidRPr="00135D08">
        <w:rPr>
          <w:rFonts w:ascii="Arial" w:hAnsi="Arial" w:cs="Arial"/>
          <w:sz w:val="22"/>
          <w:szCs w:val="22"/>
        </w:rPr>
        <w:tab/>
        <w:t xml:space="preserve">CTCTCTAT </w:t>
      </w:r>
    </w:p>
    <w:p w14:paraId="6D9F8F52" w14:textId="381C5896" w:rsidR="00135D08" w:rsidRPr="00135D08" w:rsidRDefault="00135D08" w:rsidP="003A395A">
      <w:pPr>
        <w:spacing w:after="0"/>
        <w:ind w:left="720"/>
        <w:rPr>
          <w:rFonts w:ascii="Arial" w:hAnsi="Arial" w:cs="Arial"/>
          <w:sz w:val="22"/>
          <w:szCs w:val="22"/>
        </w:rPr>
      </w:pPr>
      <w:r>
        <w:rPr>
          <w:rFonts w:ascii="Arial" w:hAnsi="Arial" w:cs="Arial"/>
          <w:sz w:val="22"/>
          <w:szCs w:val="22"/>
        </w:rPr>
        <w:t>idx</w:t>
      </w:r>
      <w:r w:rsidRPr="00135D08">
        <w:rPr>
          <w:rFonts w:ascii="Arial" w:hAnsi="Arial" w:cs="Arial"/>
          <w:sz w:val="22"/>
          <w:szCs w:val="22"/>
        </w:rPr>
        <w:t>2</w:t>
      </w:r>
      <w:r w:rsidRPr="00135D08">
        <w:rPr>
          <w:rFonts w:ascii="Arial" w:hAnsi="Arial" w:cs="Arial"/>
          <w:sz w:val="22"/>
          <w:szCs w:val="22"/>
        </w:rPr>
        <w:tab/>
        <w:t xml:space="preserve">TATCCTCT </w:t>
      </w:r>
    </w:p>
    <w:p w14:paraId="1D4A2A90" w14:textId="58CAEB33"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3</w:t>
      </w:r>
      <w:r w:rsidRPr="00135D08">
        <w:rPr>
          <w:rFonts w:ascii="Arial" w:hAnsi="Arial" w:cs="Arial"/>
          <w:sz w:val="22"/>
          <w:szCs w:val="22"/>
        </w:rPr>
        <w:tab/>
        <w:t xml:space="preserve">GTAAGGAG </w:t>
      </w:r>
    </w:p>
    <w:p w14:paraId="414F8DD6" w14:textId="5848CE5D"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4</w:t>
      </w:r>
      <w:r w:rsidRPr="00135D08">
        <w:rPr>
          <w:rFonts w:ascii="Arial" w:hAnsi="Arial" w:cs="Arial"/>
          <w:sz w:val="22"/>
          <w:szCs w:val="22"/>
        </w:rPr>
        <w:tab/>
        <w:t xml:space="preserve">ACTGCATA </w:t>
      </w:r>
    </w:p>
    <w:p w14:paraId="24011513" w14:textId="30AAD229"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5</w:t>
      </w:r>
      <w:r w:rsidRPr="00135D08">
        <w:rPr>
          <w:rFonts w:ascii="Arial" w:hAnsi="Arial" w:cs="Arial"/>
          <w:sz w:val="22"/>
          <w:szCs w:val="22"/>
        </w:rPr>
        <w:tab/>
        <w:t xml:space="preserve">AAGGAGTA </w:t>
      </w:r>
    </w:p>
    <w:p w14:paraId="58923492" w14:textId="42AA3474"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6</w:t>
      </w:r>
      <w:r w:rsidRPr="00135D08">
        <w:rPr>
          <w:rFonts w:ascii="Arial" w:hAnsi="Arial" w:cs="Arial"/>
          <w:sz w:val="22"/>
          <w:szCs w:val="22"/>
        </w:rPr>
        <w:tab/>
        <w:t xml:space="preserve">CTAAGCCT </w:t>
      </w:r>
    </w:p>
    <w:p w14:paraId="7BF7A77E" w14:textId="3E137090"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7</w:t>
      </w:r>
      <w:r w:rsidRPr="00135D08">
        <w:rPr>
          <w:rFonts w:ascii="Arial" w:hAnsi="Arial" w:cs="Arial"/>
          <w:sz w:val="22"/>
          <w:szCs w:val="22"/>
        </w:rPr>
        <w:tab/>
        <w:t xml:space="preserve">CGTCTAAT </w:t>
      </w:r>
    </w:p>
    <w:p w14:paraId="66E18089" w14:textId="395D1588"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8</w:t>
      </w:r>
      <w:r w:rsidRPr="00135D08">
        <w:rPr>
          <w:rFonts w:ascii="Arial" w:hAnsi="Arial" w:cs="Arial"/>
          <w:sz w:val="22"/>
          <w:szCs w:val="22"/>
        </w:rPr>
        <w:tab/>
        <w:t xml:space="preserve">TCTCTCCG </w:t>
      </w:r>
    </w:p>
    <w:p w14:paraId="740CFA08" w14:textId="50DD8170"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9</w:t>
      </w:r>
      <w:r w:rsidRPr="00135D08">
        <w:rPr>
          <w:rFonts w:ascii="Arial" w:hAnsi="Arial" w:cs="Arial"/>
          <w:sz w:val="22"/>
          <w:szCs w:val="22"/>
        </w:rPr>
        <w:tab/>
        <w:t xml:space="preserve">TCGACTAG </w:t>
      </w:r>
    </w:p>
    <w:p w14:paraId="30E1052F" w14:textId="0A45DA34"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10</w:t>
      </w:r>
      <w:r w:rsidRPr="00135D08">
        <w:rPr>
          <w:rFonts w:ascii="Arial" w:hAnsi="Arial" w:cs="Arial"/>
          <w:sz w:val="22"/>
          <w:szCs w:val="22"/>
        </w:rPr>
        <w:tab/>
        <w:t xml:space="preserve">TTCTAGCT </w:t>
      </w:r>
    </w:p>
    <w:p w14:paraId="4390B4B7" w14:textId="42DD30E9"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11</w:t>
      </w:r>
      <w:r w:rsidRPr="00135D08">
        <w:rPr>
          <w:rFonts w:ascii="Arial" w:hAnsi="Arial" w:cs="Arial"/>
          <w:sz w:val="22"/>
          <w:szCs w:val="22"/>
        </w:rPr>
        <w:tab/>
        <w:t xml:space="preserve">CCTAGAGT </w:t>
      </w:r>
    </w:p>
    <w:p w14:paraId="2171A5C0" w14:textId="2DAF561A"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12</w:t>
      </w:r>
      <w:r w:rsidRPr="00135D08">
        <w:rPr>
          <w:rFonts w:ascii="Arial" w:hAnsi="Arial" w:cs="Arial"/>
          <w:sz w:val="22"/>
          <w:szCs w:val="22"/>
        </w:rPr>
        <w:tab/>
        <w:t xml:space="preserve">GCGTAAGA </w:t>
      </w:r>
    </w:p>
    <w:p w14:paraId="1FF0855A" w14:textId="6479902D"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13</w:t>
      </w:r>
      <w:r w:rsidRPr="00135D08">
        <w:rPr>
          <w:rFonts w:ascii="Arial" w:hAnsi="Arial" w:cs="Arial"/>
          <w:sz w:val="22"/>
          <w:szCs w:val="22"/>
        </w:rPr>
        <w:tab/>
        <w:t xml:space="preserve">CTATTAAG </w:t>
      </w:r>
    </w:p>
    <w:p w14:paraId="693895ED" w14:textId="709A9C08"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14</w:t>
      </w:r>
      <w:r w:rsidRPr="00135D08">
        <w:rPr>
          <w:rFonts w:ascii="Arial" w:hAnsi="Arial" w:cs="Arial"/>
          <w:sz w:val="22"/>
          <w:szCs w:val="22"/>
        </w:rPr>
        <w:tab/>
        <w:t xml:space="preserve">AAGGCTAT </w:t>
      </w:r>
    </w:p>
    <w:p w14:paraId="3ADC82D5" w14:textId="7CB54E6B" w:rsidR="00135D08" w:rsidRP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15</w:t>
      </w:r>
      <w:r w:rsidRPr="00135D08">
        <w:rPr>
          <w:rFonts w:ascii="Arial" w:hAnsi="Arial" w:cs="Arial"/>
          <w:sz w:val="22"/>
          <w:szCs w:val="22"/>
        </w:rPr>
        <w:tab/>
        <w:t xml:space="preserve">GAGCCTTA </w:t>
      </w:r>
    </w:p>
    <w:p w14:paraId="2E3BBB80" w14:textId="101D48C0" w:rsidR="00135D08" w:rsidRDefault="00135D08" w:rsidP="003A395A">
      <w:pPr>
        <w:spacing w:after="0"/>
        <w:ind w:left="720"/>
        <w:rPr>
          <w:rFonts w:ascii="Arial" w:hAnsi="Arial" w:cs="Arial"/>
          <w:sz w:val="22"/>
          <w:szCs w:val="22"/>
        </w:rPr>
      </w:pPr>
      <w:proofErr w:type="spellStart"/>
      <w:r>
        <w:rPr>
          <w:rFonts w:ascii="Arial" w:hAnsi="Arial" w:cs="Arial"/>
          <w:sz w:val="22"/>
          <w:szCs w:val="22"/>
        </w:rPr>
        <w:t>idx</w:t>
      </w:r>
      <w:proofErr w:type="spellEnd"/>
      <w:r w:rsidRPr="00135D08">
        <w:rPr>
          <w:rFonts w:ascii="Arial" w:hAnsi="Arial" w:cs="Arial"/>
          <w:sz w:val="22"/>
          <w:szCs w:val="22"/>
        </w:rPr>
        <w:t xml:space="preserve"> 16</w:t>
      </w:r>
      <w:r w:rsidRPr="00135D08">
        <w:rPr>
          <w:rFonts w:ascii="Arial" w:hAnsi="Arial" w:cs="Arial"/>
          <w:sz w:val="22"/>
          <w:szCs w:val="22"/>
        </w:rPr>
        <w:tab/>
        <w:t>TTATGCGA</w:t>
      </w:r>
    </w:p>
    <w:p w14:paraId="4B507B71" w14:textId="7F5EC6E4" w:rsidR="00B17D9B" w:rsidRPr="00B17D9B" w:rsidRDefault="00B17D9B" w:rsidP="003A395A">
      <w:pPr>
        <w:spacing w:after="0"/>
        <w:ind w:left="720"/>
        <w:rPr>
          <w:rFonts w:ascii="Arial" w:hAnsi="Arial" w:cs="Arial"/>
          <w:sz w:val="22"/>
          <w:szCs w:val="22"/>
        </w:rPr>
      </w:pPr>
      <w:proofErr w:type="spellStart"/>
      <w:r>
        <w:rPr>
          <w:rFonts w:ascii="Arial" w:hAnsi="Arial" w:cs="Arial"/>
          <w:sz w:val="22"/>
          <w:szCs w:val="22"/>
        </w:rPr>
        <w:t>idx</w:t>
      </w:r>
      <w:proofErr w:type="spellEnd"/>
      <w:r>
        <w:rPr>
          <w:rFonts w:ascii="Arial" w:hAnsi="Arial" w:cs="Arial"/>
          <w:sz w:val="22"/>
          <w:szCs w:val="22"/>
        </w:rPr>
        <w:t xml:space="preserve"> 17   </w:t>
      </w:r>
      <w:r w:rsidRPr="00B17D9B">
        <w:rPr>
          <w:rFonts w:ascii="Arial" w:hAnsi="Arial" w:cs="Arial"/>
          <w:sz w:val="22"/>
          <w:szCs w:val="22"/>
        </w:rPr>
        <w:t>GGAGGTAA</w:t>
      </w:r>
    </w:p>
    <w:p w14:paraId="699C6F7F" w14:textId="707C5AC5" w:rsidR="00B17D9B" w:rsidRPr="00B17D9B" w:rsidRDefault="00B17D9B" w:rsidP="003A395A">
      <w:pPr>
        <w:spacing w:after="0"/>
        <w:ind w:left="720"/>
        <w:rPr>
          <w:rFonts w:ascii="Arial" w:hAnsi="Arial" w:cs="Arial"/>
          <w:sz w:val="22"/>
          <w:szCs w:val="22"/>
        </w:rPr>
      </w:pPr>
      <w:proofErr w:type="spellStart"/>
      <w:r>
        <w:rPr>
          <w:rFonts w:ascii="Arial" w:hAnsi="Arial" w:cs="Arial"/>
          <w:sz w:val="22"/>
          <w:szCs w:val="22"/>
        </w:rPr>
        <w:t>idx</w:t>
      </w:r>
      <w:proofErr w:type="spellEnd"/>
      <w:r>
        <w:rPr>
          <w:rFonts w:ascii="Arial" w:hAnsi="Arial" w:cs="Arial"/>
          <w:sz w:val="22"/>
          <w:szCs w:val="22"/>
        </w:rPr>
        <w:t xml:space="preserve"> 18   </w:t>
      </w:r>
      <w:r w:rsidRPr="00B17D9B">
        <w:rPr>
          <w:rFonts w:ascii="Arial" w:hAnsi="Arial" w:cs="Arial"/>
          <w:sz w:val="22"/>
          <w:szCs w:val="22"/>
        </w:rPr>
        <w:t>CATAACTG</w:t>
      </w:r>
    </w:p>
    <w:p w14:paraId="316E45FC" w14:textId="7DE753BD" w:rsidR="00B17D9B" w:rsidRPr="00B17D9B" w:rsidRDefault="00B17D9B" w:rsidP="003A395A">
      <w:pPr>
        <w:spacing w:after="0"/>
        <w:ind w:left="720"/>
        <w:rPr>
          <w:rFonts w:ascii="Arial" w:hAnsi="Arial" w:cs="Arial"/>
          <w:sz w:val="22"/>
          <w:szCs w:val="22"/>
        </w:rPr>
      </w:pPr>
      <w:proofErr w:type="spellStart"/>
      <w:r>
        <w:rPr>
          <w:rFonts w:ascii="Arial" w:hAnsi="Arial" w:cs="Arial"/>
          <w:sz w:val="22"/>
          <w:szCs w:val="22"/>
        </w:rPr>
        <w:t>idx</w:t>
      </w:r>
      <w:proofErr w:type="spellEnd"/>
      <w:r>
        <w:rPr>
          <w:rFonts w:ascii="Arial" w:hAnsi="Arial" w:cs="Arial"/>
          <w:sz w:val="22"/>
          <w:szCs w:val="22"/>
        </w:rPr>
        <w:t xml:space="preserve"> 19  </w:t>
      </w:r>
      <w:r w:rsidRPr="00B17D9B">
        <w:rPr>
          <w:rFonts w:ascii="Arial" w:hAnsi="Arial" w:cs="Arial"/>
          <w:sz w:val="22"/>
          <w:szCs w:val="22"/>
        </w:rPr>
        <w:t xml:space="preserve"> AGTAAAGG</w:t>
      </w:r>
    </w:p>
    <w:p w14:paraId="6E7FAF22" w14:textId="5356E42D" w:rsidR="00B17D9B" w:rsidRPr="00B17D9B" w:rsidRDefault="00B17D9B" w:rsidP="003A395A">
      <w:pPr>
        <w:spacing w:after="0"/>
        <w:ind w:left="720"/>
        <w:rPr>
          <w:rFonts w:ascii="Arial" w:hAnsi="Arial" w:cs="Arial"/>
          <w:sz w:val="22"/>
          <w:szCs w:val="22"/>
        </w:rPr>
      </w:pPr>
      <w:proofErr w:type="spellStart"/>
      <w:r>
        <w:rPr>
          <w:rFonts w:ascii="Arial" w:hAnsi="Arial" w:cs="Arial"/>
          <w:sz w:val="22"/>
          <w:szCs w:val="22"/>
        </w:rPr>
        <w:t>idx</w:t>
      </w:r>
      <w:proofErr w:type="spellEnd"/>
      <w:r>
        <w:rPr>
          <w:rFonts w:ascii="Arial" w:hAnsi="Arial" w:cs="Arial"/>
          <w:sz w:val="22"/>
          <w:szCs w:val="22"/>
        </w:rPr>
        <w:t xml:space="preserve"> 20 </w:t>
      </w:r>
      <w:r w:rsidRPr="00B17D9B">
        <w:rPr>
          <w:rFonts w:ascii="Arial" w:hAnsi="Arial" w:cs="Arial"/>
          <w:sz w:val="22"/>
          <w:szCs w:val="22"/>
        </w:rPr>
        <w:t xml:space="preserve">  TAATCGTC</w:t>
      </w:r>
    </w:p>
    <w:p w14:paraId="336E9C58" w14:textId="0C0DA1C8" w:rsidR="00B17D9B" w:rsidRPr="00B17D9B" w:rsidRDefault="00B17D9B" w:rsidP="003A395A">
      <w:pPr>
        <w:spacing w:after="0"/>
        <w:ind w:left="720"/>
        <w:rPr>
          <w:rFonts w:ascii="Arial" w:hAnsi="Arial" w:cs="Arial"/>
          <w:sz w:val="22"/>
          <w:szCs w:val="22"/>
        </w:rPr>
      </w:pPr>
      <w:proofErr w:type="spellStart"/>
      <w:r>
        <w:rPr>
          <w:rFonts w:ascii="Arial" w:hAnsi="Arial" w:cs="Arial"/>
          <w:sz w:val="22"/>
          <w:szCs w:val="22"/>
        </w:rPr>
        <w:t>idx</w:t>
      </w:r>
      <w:proofErr w:type="spellEnd"/>
      <w:r>
        <w:rPr>
          <w:rFonts w:ascii="Arial" w:hAnsi="Arial" w:cs="Arial"/>
          <w:sz w:val="22"/>
          <w:szCs w:val="22"/>
        </w:rPr>
        <w:t xml:space="preserve"> 21</w:t>
      </w:r>
      <w:r w:rsidRPr="00B17D9B">
        <w:rPr>
          <w:rFonts w:ascii="Arial" w:hAnsi="Arial" w:cs="Arial"/>
          <w:sz w:val="22"/>
          <w:szCs w:val="22"/>
        </w:rPr>
        <w:t xml:space="preserve">   TCCGTCTC</w:t>
      </w:r>
    </w:p>
    <w:p w14:paraId="3570B283" w14:textId="79421D9E" w:rsidR="00B17D9B" w:rsidRPr="00B17D9B" w:rsidRDefault="00B17D9B" w:rsidP="003A395A">
      <w:pPr>
        <w:spacing w:after="0"/>
        <w:ind w:left="720"/>
        <w:rPr>
          <w:rFonts w:ascii="Arial" w:hAnsi="Arial" w:cs="Arial"/>
          <w:sz w:val="22"/>
          <w:szCs w:val="22"/>
        </w:rPr>
      </w:pPr>
      <w:proofErr w:type="spellStart"/>
      <w:r>
        <w:rPr>
          <w:rFonts w:ascii="Arial" w:hAnsi="Arial" w:cs="Arial"/>
          <w:sz w:val="22"/>
          <w:szCs w:val="22"/>
        </w:rPr>
        <w:t>idx</w:t>
      </w:r>
      <w:proofErr w:type="spellEnd"/>
      <w:r>
        <w:rPr>
          <w:rFonts w:ascii="Arial" w:hAnsi="Arial" w:cs="Arial"/>
          <w:sz w:val="22"/>
          <w:szCs w:val="22"/>
        </w:rPr>
        <w:t xml:space="preserve"> 22  </w:t>
      </w:r>
      <w:r w:rsidRPr="00B17D9B">
        <w:rPr>
          <w:rFonts w:ascii="Arial" w:hAnsi="Arial" w:cs="Arial"/>
          <w:sz w:val="22"/>
          <w:szCs w:val="22"/>
        </w:rPr>
        <w:t xml:space="preserve"> AGCTTTCT</w:t>
      </w:r>
    </w:p>
    <w:p w14:paraId="3F7D1D90" w14:textId="300A563A" w:rsidR="00B17D9B" w:rsidRPr="00B17D9B" w:rsidRDefault="00B17D9B" w:rsidP="003A395A">
      <w:pPr>
        <w:spacing w:after="0"/>
        <w:ind w:left="720"/>
        <w:rPr>
          <w:rFonts w:ascii="Arial" w:hAnsi="Arial" w:cs="Arial"/>
          <w:sz w:val="22"/>
          <w:szCs w:val="22"/>
        </w:rPr>
      </w:pPr>
      <w:proofErr w:type="spellStart"/>
      <w:r>
        <w:rPr>
          <w:rFonts w:ascii="Arial" w:hAnsi="Arial" w:cs="Arial"/>
          <w:sz w:val="22"/>
          <w:szCs w:val="22"/>
        </w:rPr>
        <w:t>idx</w:t>
      </w:r>
      <w:proofErr w:type="spellEnd"/>
      <w:r>
        <w:rPr>
          <w:rFonts w:ascii="Arial" w:hAnsi="Arial" w:cs="Arial"/>
          <w:sz w:val="22"/>
          <w:szCs w:val="22"/>
        </w:rPr>
        <w:t xml:space="preserve"> 23 </w:t>
      </w:r>
      <w:r w:rsidRPr="00B17D9B">
        <w:rPr>
          <w:rFonts w:ascii="Arial" w:hAnsi="Arial" w:cs="Arial"/>
          <w:sz w:val="22"/>
          <w:szCs w:val="22"/>
        </w:rPr>
        <w:t xml:space="preserve">  AAGAGCGT</w:t>
      </w:r>
    </w:p>
    <w:p w14:paraId="4E7CA86B" w14:textId="56F1361A" w:rsidR="00B17D9B" w:rsidRPr="00135D08" w:rsidRDefault="00B17D9B" w:rsidP="003A395A">
      <w:pPr>
        <w:spacing w:after="0"/>
        <w:ind w:left="720"/>
        <w:rPr>
          <w:rFonts w:ascii="Arial" w:hAnsi="Arial" w:cs="Arial"/>
          <w:sz w:val="22"/>
          <w:szCs w:val="22"/>
        </w:rPr>
      </w:pPr>
      <w:proofErr w:type="spellStart"/>
      <w:r>
        <w:rPr>
          <w:rFonts w:ascii="Arial" w:hAnsi="Arial" w:cs="Arial"/>
          <w:sz w:val="22"/>
          <w:szCs w:val="22"/>
        </w:rPr>
        <w:t>idx</w:t>
      </w:r>
      <w:proofErr w:type="spellEnd"/>
      <w:r>
        <w:rPr>
          <w:rFonts w:ascii="Arial" w:hAnsi="Arial" w:cs="Arial"/>
          <w:sz w:val="22"/>
          <w:szCs w:val="22"/>
        </w:rPr>
        <w:t xml:space="preserve"> 24</w:t>
      </w:r>
      <w:r w:rsidRPr="00B17D9B">
        <w:rPr>
          <w:rFonts w:ascii="Arial" w:hAnsi="Arial" w:cs="Arial"/>
          <w:sz w:val="22"/>
          <w:szCs w:val="22"/>
        </w:rPr>
        <w:t xml:space="preserve">   AGAATGCG</w:t>
      </w:r>
    </w:p>
    <w:p w14:paraId="2F1A2283" w14:textId="235F618E" w:rsidR="00117C5F" w:rsidRDefault="00135D08" w:rsidP="003A395A">
      <w:pPr>
        <w:ind w:left="720"/>
        <w:rPr>
          <w:rFonts w:ascii="Arial" w:hAnsi="Arial" w:cs="Arial"/>
          <w:b/>
          <w:sz w:val="22"/>
          <w:szCs w:val="22"/>
          <w:u w:val="single"/>
        </w:rPr>
      </w:pPr>
      <w:r>
        <w:rPr>
          <w:rFonts w:ascii="Arial" w:hAnsi="Arial" w:cs="Arial"/>
          <w:b/>
          <w:sz w:val="22"/>
          <w:szCs w:val="22"/>
          <w:u w:val="single"/>
        </w:rPr>
        <w:br w:type="page"/>
      </w:r>
      <w:proofErr w:type="spellStart"/>
      <w:r w:rsidR="00117C5F" w:rsidRPr="00556162">
        <w:rPr>
          <w:rFonts w:ascii="Arial" w:hAnsi="Arial" w:cs="Arial"/>
          <w:b/>
          <w:sz w:val="22"/>
          <w:szCs w:val="22"/>
          <w:u w:val="single"/>
        </w:rPr>
        <w:lastRenderedPageBreak/>
        <w:t>InDrop</w:t>
      </w:r>
      <w:proofErr w:type="spellEnd"/>
      <w:r w:rsidR="002A399A">
        <w:rPr>
          <w:rFonts w:ascii="Arial" w:hAnsi="Arial" w:cs="Arial"/>
          <w:b/>
          <w:sz w:val="22"/>
          <w:szCs w:val="22"/>
          <w:u w:val="single"/>
        </w:rPr>
        <w:t xml:space="preserve"> Designs:  V2 vs</w:t>
      </w:r>
      <w:r w:rsidR="00117C5F" w:rsidRPr="00556162">
        <w:rPr>
          <w:rFonts w:ascii="Arial" w:hAnsi="Arial" w:cs="Arial"/>
          <w:b/>
          <w:sz w:val="22"/>
          <w:szCs w:val="22"/>
          <w:u w:val="single"/>
        </w:rPr>
        <w:t xml:space="preserve"> V3</w:t>
      </w:r>
    </w:p>
    <w:p w14:paraId="1D2E4E65" w14:textId="77777777" w:rsidR="002A399A" w:rsidRPr="00556162" w:rsidRDefault="002A399A" w:rsidP="00117C5F">
      <w:pPr>
        <w:rPr>
          <w:rFonts w:ascii="Arial" w:hAnsi="Arial" w:cs="Arial"/>
          <w:b/>
          <w:sz w:val="22"/>
          <w:szCs w:val="22"/>
          <w:u w:val="single"/>
        </w:rPr>
      </w:pPr>
    </w:p>
    <w:p w14:paraId="18AAD98D" w14:textId="77777777" w:rsidR="00117C5F" w:rsidRDefault="00117C5F" w:rsidP="00117C5F">
      <w:pPr>
        <w:rPr>
          <w:rFonts w:ascii="Arial" w:hAnsi="Arial" w:cs="Arial"/>
          <w:sz w:val="22"/>
          <w:szCs w:val="22"/>
        </w:rPr>
      </w:pPr>
      <w:r w:rsidRPr="00556162">
        <w:rPr>
          <w:rFonts w:ascii="Arial" w:hAnsi="Arial" w:cs="Arial"/>
          <w:sz w:val="22"/>
          <w:szCs w:val="22"/>
        </w:rPr>
        <w:t xml:space="preserve">There are two </w:t>
      </w:r>
      <w:proofErr w:type="spellStart"/>
      <w:r w:rsidRPr="00556162">
        <w:rPr>
          <w:rFonts w:ascii="Arial" w:hAnsi="Arial" w:cs="Arial"/>
          <w:sz w:val="22"/>
          <w:szCs w:val="22"/>
        </w:rPr>
        <w:t>InDrop</w:t>
      </w:r>
      <w:proofErr w:type="spellEnd"/>
      <w:r w:rsidRPr="00556162">
        <w:rPr>
          <w:rFonts w:ascii="Arial" w:hAnsi="Arial" w:cs="Arial"/>
          <w:sz w:val="22"/>
          <w:szCs w:val="22"/>
        </w:rPr>
        <w:t xml:space="preserve"> designs used by the core.  As of September 2016 libraries will be made with the new V3 design.  Please be sure you know which version of the hydrogel was used on your sample as this makes VERY IMPORTANT </w:t>
      </w:r>
      <w:r>
        <w:rPr>
          <w:rFonts w:ascii="Arial" w:hAnsi="Arial" w:cs="Arial"/>
          <w:sz w:val="22"/>
          <w:szCs w:val="22"/>
        </w:rPr>
        <w:t>DIFFERENCES IN</w:t>
      </w:r>
      <w:r w:rsidRPr="00556162">
        <w:rPr>
          <w:rFonts w:ascii="Arial" w:hAnsi="Arial" w:cs="Arial"/>
          <w:sz w:val="22"/>
          <w:szCs w:val="22"/>
        </w:rPr>
        <w:t xml:space="preserve"> SEQUENCING.</w:t>
      </w:r>
    </w:p>
    <w:p w14:paraId="6D68C784" w14:textId="148228F3" w:rsidR="00117C5F" w:rsidRDefault="00117C5F" w:rsidP="00117C5F">
      <w:pPr>
        <w:rPr>
          <w:rFonts w:ascii="Arial" w:hAnsi="Arial" w:cs="Arial"/>
          <w:sz w:val="22"/>
          <w:szCs w:val="22"/>
        </w:rPr>
      </w:pPr>
      <w:r w:rsidRPr="00F43F55">
        <w:rPr>
          <w:rFonts w:ascii="Arial" w:hAnsi="Arial" w:cs="Arial"/>
          <w:sz w:val="22"/>
          <w:szCs w:val="22"/>
        </w:rPr>
        <w:t>Libraries are prepared with custom primers that includes a 6-base (V2) or 8-base (V3) long library index. Read 1 adapter is on the 5’/cDNA end (reads gene), and Read 2 adapter is on the 3’ barcoded end (reads BC/UMI).</w:t>
      </w:r>
    </w:p>
    <w:p w14:paraId="6069A4DA" w14:textId="77777777" w:rsidR="002A399A" w:rsidRPr="00556162" w:rsidRDefault="002A399A" w:rsidP="00117C5F">
      <w:pPr>
        <w:rPr>
          <w:rFonts w:ascii="Arial" w:hAnsi="Arial" w:cs="Arial"/>
          <w:sz w:val="22"/>
          <w:szCs w:val="22"/>
        </w:rPr>
      </w:pPr>
    </w:p>
    <w:p w14:paraId="67BB163A" w14:textId="77777777" w:rsidR="00117C5F" w:rsidRPr="00275883" w:rsidRDefault="00117C5F" w:rsidP="00117C5F">
      <w:pPr>
        <w:rPr>
          <w:rFonts w:ascii="Arial" w:hAnsi="Arial" w:cs="Arial"/>
          <w:sz w:val="22"/>
          <w:szCs w:val="22"/>
          <w:u w:val="single"/>
        </w:rPr>
      </w:pPr>
      <w:r w:rsidRPr="00556162">
        <w:rPr>
          <w:rFonts w:ascii="Arial" w:hAnsi="Arial" w:cs="Arial"/>
          <w:sz w:val="22"/>
          <w:szCs w:val="22"/>
          <w:u w:val="single"/>
        </w:rPr>
        <w:t>General requirements for all Illumina sequencers:</w:t>
      </w:r>
    </w:p>
    <w:p w14:paraId="0F5091E7" w14:textId="77777777" w:rsidR="00117C5F" w:rsidRPr="008A5485" w:rsidRDefault="00117C5F" w:rsidP="00117C5F">
      <w:pPr>
        <w:pStyle w:val="ListParagraph"/>
        <w:numPr>
          <w:ilvl w:val="0"/>
          <w:numId w:val="1"/>
        </w:numPr>
        <w:rPr>
          <w:rFonts w:ascii="Arial" w:hAnsi="Arial" w:cs="Arial"/>
          <w:sz w:val="22"/>
          <w:szCs w:val="22"/>
        </w:rPr>
      </w:pPr>
      <w:r>
        <w:rPr>
          <w:rFonts w:ascii="Arial" w:hAnsi="Arial" w:cs="Arial"/>
          <w:sz w:val="22"/>
          <w:szCs w:val="22"/>
        </w:rPr>
        <w:t>Give your core facility the average library size (which will be given to you with your final libraries) and make sure the core</w:t>
      </w:r>
      <w:r w:rsidRPr="00556162">
        <w:rPr>
          <w:rFonts w:ascii="Arial" w:hAnsi="Arial" w:cs="Arial"/>
          <w:sz w:val="22"/>
          <w:szCs w:val="22"/>
        </w:rPr>
        <w:t xml:space="preserve"> facility perform</w:t>
      </w:r>
      <w:r>
        <w:rPr>
          <w:rFonts w:ascii="Arial" w:hAnsi="Arial" w:cs="Arial"/>
          <w:sz w:val="22"/>
          <w:szCs w:val="22"/>
        </w:rPr>
        <w:t>s</w:t>
      </w:r>
      <w:r w:rsidRPr="00556162">
        <w:rPr>
          <w:rFonts w:ascii="Arial" w:hAnsi="Arial" w:cs="Arial"/>
          <w:sz w:val="22"/>
          <w:szCs w:val="22"/>
        </w:rPr>
        <w:t xml:space="preserve"> library quantification qPCR before run.</w:t>
      </w:r>
      <w:r>
        <w:rPr>
          <w:rFonts w:ascii="Arial" w:hAnsi="Arial" w:cs="Arial"/>
          <w:sz w:val="22"/>
          <w:szCs w:val="22"/>
        </w:rPr>
        <w:t xml:space="preserve">  It is fine to pool your libraries based on the concentrations given to you from the SCC with your library, but the final pool should be qPCR quantified before running on the sequencer. This will result in optimal cluster generation.</w:t>
      </w:r>
    </w:p>
    <w:p w14:paraId="20FA14CD" w14:textId="77777777" w:rsidR="00117C5F" w:rsidRPr="008A5485" w:rsidRDefault="00117C5F" w:rsidP="00117C5F">
      <w:pPr>
        <w:pStyle w:val="ListParagraph"/>
        <w:ind w:left="360"/>
        <w:rPr>
          <w:rFonts w:ascii="Arial" w:hAnsi="Arial" w:cs="Arial"/>
          <w:sz w:val="22"/>
          <w:szCs w:val="22"/>
        </w:rPr>
      </w:pPr>
    </w:p>
    <w:p w14:paraId="34FCB3B2" w14:textId="77777777" w:rsidR="00117C5F" w:rsidRPr="004C4227" w:rsidRDefault="00117C5F" w:rsidP="00117C5F">
      <w:pPr>
        <w:pStyle w:val="ListParagraph"/>
        <w:numPr>
          <w:ilvl w:val="0"/>
          <w:numId w:val="1"/>
        </w:numPr>
        <w:rPr>
          <w:rFonts w:ascii="Arial" w:hAnsi="Arial" w:cs="Arial"/>
          <w:sz w:val="22"/>
          <w:szCs w:val="22"/>
        </w:rPr>
      </w:pPr>
      <w:r w:rsidRPr="00556162">
        <w:rPr>
          <w:rFonts w:ascii="Arial" w:hAnsi="Arial" w:cs="Arial"/>
          <w:b/>
          <w:sz w:val="22"/>
          <w:szCs w:val="22"/>
        </w:rPr>
        <w:t>V2 ONLY -</w:t>
      </w:r>
      <w:r w:rsidRPr="00556162">
        <w:rPr>
          <w:rFonts w:ascii="Arial" w:hAnsi="Arial" w:cs="Arial"/>
          <w:sz w:val="22"/>
          <w:szCs w:val="22"/>
        </w:rPr>
        <w:t xml:space="preserve"> </w:t>
      </w:r>
      <w:r w:rsidRPr="00556162">
        <w:rPr>
          <w:rFonts w:ascii="Arial" w:hAnsi="Arial" w:cs="Arial"/>
          <w:i/>
          <w:sz w:val="22"/>
          <w:szCs w:val="22"/>
        </w:rPr>
        <w:t xml:space="preserve">Provide the sequencing core with custom primers (for Read 1, Index Read, and Read 2), or check to see if they already have them in stock. Check with the facility to see how much they need (the DFCI core requests at least 6 µL of 100 µM primer per run). See next page for primer sequences and index sequences. </w:t>
      </w:r>
    </w:p>
    <w:p w14:paraId="5D86887B" w14:textId="77777777" w:rsidR="00117C5F" w:rsidRPr="004C4227" w:rsidRDefault="00117C5F" w:rsidP="00117C5F">
      <w:pPr>
        <w:pStyle w:val="ListParagraph"/>
        <w:rPr>
          <w:rFonts w:ascii="Arial" w:hAnsi="Arial" w:cs="Arial"/>
          <w:sz w:val="22"/>
          <w:szCs w:val="22"/>
        </w:rPr>
      </w:pPr>
    </w:p>
    <w:p w14:paraId="0D2EC834" w14:textId="77777777" w:rsidR="00117C5F" w:rsidRPr="004C4227" w:rsidRDefault="00117C5F" w:rsidP="00117C5F">
      <w:pPr>
        <w:pStyle w:val="ListParagraph"/>
        <w:rPr>
          <w:rFonts w:ascii="Arial" w:hAnsi="Arial" w:cs="Arial"/>
          <w:color w:val="FF0000"/>
          <w:sz w:val="22"/>
          <w:szCs w:val="22"/>
        </w:rPr>
      </w:pPr>
      <w:r w:rsidRPr="004C4227">
        <w:rPr>
          <w:rFonts w:ascii="Arial" w:hAnsi="Arial" w:cs="Arial"/>
          <w:color w:val="FF0000"/>
          <w:sz w:val="22"/>
          <w:szCs w:val="22"/>
        </w:rPr>
        <w:t xml:space="preserve">Do NOT mix these custom primers into the standard Illumina primer mix.  This will cause sequencing Failure for </w:t>
      </w:r>
      <w:proofErr w:type="spellStart"/>
      <w:r w:rsidRPr="004C4227">
        <w:rPr>
          <w:rFonts w:ascii="Arial" w:hAnsi="Arial" w:cs="Arial"/>
          <w:color w:val="FF0000"/>
          <w:sz w:val="22"/>
          <w:szCs w:val="22"/>
        </w:rPr>
        <w:t>InDrop</w:t>
      </w:r>
      <w:proofErr w:type="spellEnd"/>
      <w:r w:rsidRPr="004C4227">
        <w:rPr>
          <w:rFonts w:ascii="Arial" w:hAnsi="Arial" w:cs="Arial"/>
          <w:color w:val="FF0000"/>
          <w:sz w:val="22"/>
          <w:szCs w:val="22"/>
        </w:rPr>
        <w:t xml:space="preserve"> libraries. V2 custom primers must be kept separate.</w:t>
      </w:r>
    </w:p>
    <w:p w14:paraId="56C32D7C" w14:textId="77777777" w:rsidR="00117C5F" w:rsidRPr="00275883" w:rsidRDefault="00117C5F" w:rsidP="00117C5F">
      <w:pPr>
        <w:pStyle w:val="ListParagraph"/>
        <w:rPr>
          <w:rFonts w:ascii="Arial" w:hAnsi="Arial" w:cs="Arial"/>
          <w:sz w:val="22"/>
          <w:szCs w:val="22"/>
        </w:rPr>
      </w:pPr>
    </w:p>
    <w:p w14:paraId="18B4C989" w14:textId="77777777" w:rsidR="00117C5F" w:rsidRDefault="00117C5F" w:rsidP="00117C5F">
      <w:pPr>
        <w:pStyle w:val="ListParagraph"/>
        <w:numPr>
          <w:ilvl w:val="0"/>
          <w:numId w:val="1"/>
        </w:numPr>
        <w:rPr>
          <w:rFonts w:ascii="Arial" w:hAnsi="Arial" w:cs="Arial"/>
          <w:sz w:val="22"/>
          <w:szCs w:val="22"/>
        </w:rPr>
      </w:pPr>
      <w:r w:rsidRPr="008A5485">
        <w:rPr>
          <w:rFonts w:ascii="Arial" w:hAnsi="Arial" w:cs="Arial"/>
          <w:b/>
          <w:sz w:val="22"/>
          <w:szCs w:val="22"/>
        </w:rPr>
        <w:t>V3 libraries</w:t>
      </w:r>
      <w:r>
        <w:rPr>
          <w:rFonts w:ascii="Arial" w:hAnsi="Arial" w:cs="Arial"/>
          <w:sz w:val="22"/>
          <w:szCs w:val="22"/>
        </w:rPr>
        <w:t xml:space="preserve"> require that </w:t>
      </w:r>
      <w:proofErr w:type="spellStart"/>
      <w:r>
        <w:rPr>
          <w:rFonts w:ascii="Arial" w:hAnsi="Arial" w:cs="Arial"/>
          <w:sz w:val="22"/>
          <w:szCs w:val="22"/>
        </w:rPr>
        <w:t>fastq</w:t>
      </w:r>
      <w:proofErr w:type="spellEnd"/>
      <w:r>
        <w:rPr>
          <w:rFonts w:ascii="Arial" w:hAnsi="Arial" w:cs="Arial"/>
          <w:sz w:val="22"/>
          <w:szCs w:val="22"/>
        </w:rPr>
        <w:t xml:space="preserve"> files be delivered for ALL reads – including index reads and undetermined reads.  If core facility cannot give you the </w:t>
      </w:r>
      <w:proofErr w:type="spellStart"/>
      <w:r>
        <w:rPr>
          <w:rFonts w:ascii="Arial" w:hAnsi="Arial" w:cs="Arial"/>
          <w:sz w:val="22"/>
          <w:szCs w:val="22"/>
        </w:rPr>
        <w:t>fastq</w:t>
      </w:r>
      <w:proofErr w:type="spellEnd"/>
      <w:r>
        <w:rPr>
          <w:rFonts w:ascii="Arial" w:hAnsi="Arial" w:cs="Arial"/>
          <w:sz w:val="22"/>
          <w:szCs w:val="22"/>
        </w:rPr>
        <w:t xml:space="preserve"> files for all 4 </w:t>
      </w:r>
      <w:proofErr w:type="gramStart"/>
      <w:r>
        <w:rPr>
          <w:rFonts w:ascii="Arial" w:hAnsi="Arial" w:cs="Arial"/>
          <w:sz w:val="22"/>
          <w:szCs w:val="22"/>
        </w:rPr>
        <w:t>reads</w:t>
      </w:r>
      <w:proofErr w:type="gramEnd"/>
      <w:r>
        <w:rPr>
          <w:rFonts w:ascii="Arial" w:hAnsi="Arial" w:cs="Arial"/>
          <w:sz w:val="22"/>
          <w:szCs w:val="22"/>
        </w:rPr>
        <w:t xml:space="preserve"> then ask for the </w:t>
      </w:r>
      <w:proofErr w:type="spellStart"/>
      <w:r>
        <w:rPr>
          <w:rFonts w:ascii="Arial" w:hAnsi="Arial" w:cs="Arial"/>
          <w:sz w:val="22"/>
          <w:szCs w:val="22"/>
        </w:rPr>
        <w:t>bcl</w:t>
      </w:r>
      <w:proofErr w:type="spellEnd"/>
      <w:r>
        <w:rPr>
          <w:rFonts w:ascii="Arial" w:hAnsi="Arial" w:cs="Arial"/>
          <w:sz w:val="22"/>
          <w:szCs w:val="22"/>
        </w:rPr>
        <w:t xml:space="preserve"> files.</w:t>
      </w:r>
    </w:p>
    <w:p w14:paraId="4BEA6890" w14:textId="29A5F797" w:rsidR="00117C5F" w:rsidRDefault="00117C5F" w:rsidP="00EA4787">
      <w:pPr>
        <w:rPr>
          <w:rFonts w:ascii="Arial" w:hAnsi="Arial" w:cs="Arial"/>
          <w:b/>
          <w:sz w:val="22"/>
          <w:szCs w:val="22"/>
          <w:u w:val="single"/>
        </w:rPr>
      </w:pPr>
    </w:p>
    <w:p w14:paraId="5F1836D1" w14:textId="77777777" w:rsidR="002A399A" w:rsidRDefault="002A399A" w:rsidP="00EA4787">
      <w:pPr>
        <w:rPr>
          <w:rFonts w:ascii="Arial" w:hAnsi="Arial" w:cs="Arial"/>
          <w:b/>
          <w:sz w:val="22"/>
          <w:szCs w:val="22"/>
          <w:u w:val="single"/>
        </w:rPr>
      </w:pPr>
    </w:p>
    <w:p w14:paraId="51803393" w14:textId="3E476F23" w:rsidR="002A399A" w:rsidRDefault="002A399A" w:rsidP="00EA4787">
      <w:pPr>
        <w:rPr>
          <w:rFonts w:ascii="Arial" w:hAnsi="Arial" w:cs="Arial"/>
          <w:b/>
          <w:sz w:val="22"/>
          <w:szCs w:val="22"/>
          <w:u w:val="single"/>
        </w:rPr>
      </w:pPr>
    </w:p>
    <w:p w14:paraId="557F584C" w14:textId="0599016C" w:rsidR="002A399A" w:rsidRDefault="000A1792" w:rsidP="00EA4787">
      <w:pPr>
        <w:rPr>
          <w:rFonts w:ascii="Arial" w:hAnsi="Arial" w:cs="Arial"/>
          <w:b/>
          <w:sz w:val="22"/>
          <w:szCs w:val="22"/>
          <w:u w:val="single"/>
        </w:rPr>
      </w:pPr>
      <w:r>
        <w:rPr>
          <w:rFonts w:ascii="Arial" w:hAnsi="Arial" w:cs="Arial"/>
          <w:b/>
          <w:sz w:val="22"/>
          <w:szCs w:val="22"/>
          <w:u w:val="single"/>
        </w:rPr>
        <w:pict w14:anchorId="12E909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4pt;height:142.05pt">
            <v:imagedata r:id="rId7" o:title="Indrops_v2_and_v3"/>
          </v:shape>
        </w:pict>
      </w:r>
    </w:p>
    <w:p w14:paraId="570886B0" w14:textId="77777777" w:rsidR="002A399A" w:rsidRDefault="002A399A" w:rsidP="00EA4787">
      <w:pPr>
        <w:rPr>
          <w:rFonts w:ascii="Arial" w:hAnsi="Arial" w:cs="Arial"/>
          <w:b/>
          <w:sz w:val="22"/>
          <w:szCs w:val="22"/>
          <w:u w:val="single"/>
        </w:rPr>
      </w:pPr>
    </w:p>
    <w:p w14:paraId="64C1D780" w14:textId="77777777" w:rsidR="002A399A" w:rsidRDefault="002A399A" w:rsidP="00EA4787">
      <w:pPr>
        <w:rPr>
          <w:rFonts w:ascii="Arial" w:hAnsi="Arial" w:cs="Arial"/>
          <w:b/>
          <w:sz w:val="22"/>
          <w:szCs w:val="22"/>
          <w:u w:val="single"/>
        </w:rPr>
      </w:pPr>
    </w:p>
    <w:p w14:paraId="35327FB5" w14:textId="3EFBDD65" w:rsidR="008B16B3" w:rsidRPr="00556162" w:rsidRDefault="008B16B3" w:rsidP="00EA4787">
      <w:pPr>
        <w:rPr>
          <w:rFonts w:ascii="Arial" w:hAnsi="Arial" w:cs="Arial"/>
          <w:b/>
          <w:sz w:val="22"/>
          <w:szCs w:val="22"/>
          <w:u w:val="single"/>
        </w:rPr>
      </w:pPr>
      <w:r w:rsidRPr="00556162">
        <w:rPr>
          <w:rFonts w:ascii="Arial" w:hAnsi="Arial" w:cs="Arial"/>
          <w:b/>
          <w:sz w:val="22"/>
          <w:szCs w:val="22"/>
          <w:u w:val="single"/>
        </w:rPr>
        <w:lastRenderedPageBreak/>
        <w:t>V2 Sequencing</w:t>
      </w:r>
    </w:p>
    <w:p w14:paraId="06B6F255" w14:textId="0EB129F3" w:rsidR="004C4227" w:rsidRPr="00556162" w:rsidRDefault="008B16B3" w:rsidP="008B16B3">
      <w:pPr>
        <w:rPr>
          <w:rFonts w:ascii="Arial" w:hAnsi="Arial" w:cs="Arial"/>
          <w:sz w:val="22"/>
          <w:szCs w:val="22"/>
        </w:rPr>
      </w:pPr>
      <w:r w:rsidRPr="00556162">
        <w:rPr>
          <w:rFonts w:ascii="Arial" w:hAnsi="Arial" w:cs="Arial"/>
          <w:sz w:val="22"/>
          <w:szCs w:val="22"/>
        </w:rPr>
        <w:t xml:space="preserve">Our suggested method for sequencing is the </w:t>
      </w:r>
      <w:r w:rsidR="00556162">
        <w:rPr>
          <w:rFonts w:ascii="Arial" w:hAnsi="Arial" w:cs="Arial"/>
          <w:sz w:val="22"/>
          <w:szCs w:val="22"/>
        </w:rPr>
        <w:t xml:space="preserve">Illumina </w:t>
      </w:r>
      <w:proofErr w:type="spellStart"/>
      <w:r w:rsidRPr="00556162">
        <w:rPr>
          <w:rFonts w:ascii="Arial" w:hAnsi="Arial" w:cs="Arial"/>
          <w:sz w:val="22"/>
          <w:szCs w:val="22"/>
        </w:rPr>
        <w:t>NextSeq</w:t>
      </w:r>
      <w:proofErr w:type="spellEnd"/>
      <w:r w:rsidRPr="00556162">
        <w:rPr>
          <w:rFonts w:ascii="Arial" w:hAnsi="Arial" w:cs="Arial"/>
          <w:sz w:val="22"/>
          <w:szCs w:val="22"/>
        </w:rPr>
        <w:t xml:space="preserve">.  </w:t>
      </w:r>
      <w:r w:rsidR="00556162" w:rsidRPr="00556162">
        <w:rPr>
          <w:rFonts w:ascii="Arial" w:hAnsi="Arial" w:cs="Arial"/>
          <w:sz w:val="22"/>
          <w:szCs w:val="22"/>
        </w:rPr>
        <w:t xml:space="preserve">Users typically pool 10,000 to 30,000 cells on one </w:t>
      </w:r>
      <w:proofErr w:type="spellStart"/>
      <w:r w:rsidR="00556162" w:rsidRPr="00556162">
        <w:rPr>
          <w:rFonts w:ascii="Arial" w:hAnsi="Arial" w:cs="Arial"/>
          <w:sz w:val="22"/>
          <w:szCs w:val="22"/>
        </w:rPr>
        <w:t>NextSeq</w:t>
      </w:r>
      <w:proofErr w:type="spellEnd"/>
      <w:r w:rsidR="00556162" w:rsidRPr="00556162">
        <w:rPr>
          <w:rFonts w:ascii="Arial" w:hAnsi="Arial" w:cs="Arial"/>
          <w:sz w:val="22"/>
          <w:szCs w:val="22"/>
        </w:rPr>
        <w:t xml:space="preserve"> run.</w:t>
      </w:r>
    </w:p>
    <w:p w14:paraId="2FFB6B51" w14:textId="1F763639" w:rsidR="004C4227" w:rsidRDefault="00556162" w:rsidP="008B16B3">
      <w:pPr>
        <w:rPr>
          <w:rFonts w:ascii="Arial" w:hAnsi="Arial" w:cs="Arial"/>
          <w:sz w:val="22"/>
          <w:szCs w:val="22"/>
        </w:rPr>
      </w:pPr>
      <w:r w:rsidRPr="00556162">
        <w:rPr>
          <w:rFonts w:ascii="Arial" w:hAnsi="Arial" w:cs="Arial"/>
          <w:sz w:val="22"/>
          <w:szCs w:val="22"/>
        </w:rPr>
        <w:t xml:space="preserve">Note that the Dana Farber Molecular Biology Core is well versed with InDrops libraries and has all custom primers required for V2 sequencing.  (https://mbcf.dfci.harvard.edu/?page_id=4) </w:t>
      </w:r>
    </w:p>
    <w:p w14:paraId="4392C2C1" w14:textId="150AF955" w:rsidR="004C4227" w:rsidRDefault="004C4227" w:rsidP="004C4227">
      <w:pPr>
        <w:pStyle w:val="ListParagraph"/>
        <w:rPr>
          <w:rFonts w:ascii="Arial" w:hAnsi="Arial" w:cs="Arial"/>
          <w:color w:val="FF0000"/>
          <w:sz w:val="22"/>
          <w:szCs w:val="22"/>
        </w:rPr>
      </w:pPr>
      <w:r w:rsidRPr="004C4227">
        <w:rPr>
          <w:rFonts w:ascii="Arial" w:hAnsi="Arial" w:cs="Arial"/>
          <w:color w:val="FF0000"/>
          <w:sz w:val="22"/>
          <w:szCs w:val="22"/>
        </w:rPr>
        <w:t xml:space="preserve">Do NOT mix these custom primers into the standard Illumina primer mix.  This will cause sequencing Failure for </w:t>
      </w:r>
      <w:proofErr w:type="spellStart"/>
      <w:r w:rsidRPr="004C4227">
        <w:rPr>
          <w:rFonts w:ascii="Arial" w:hAnsi="Arial" w:cs="Arial"/>
          <w:color w:val="FF0000"/>
          <w:sz w:val="22"/>
          <w:szCs w:val="22"/>
        </w:rPr>
        <w:t>InDrop</w:t>
      </w:r>
      <w:proofErr w:type="spellEnd"/>
      <w:r w:rsidRPr="004C4227">
        <w:rPr>
          <w:rFonts w:ascii="Arial" w:hAnsi="Arial" w:cs="Arial"/>
          <w:color w:val="FF0000"/>
          <w:sz w:val="22"/>
          <w:szCs w:val="22"/>
        </w:rPr>
        <w:t xml:space="preserve"> libraries. V2 custom primers must be kept separate.</w:t>
      </w:r>
    </w:p>
    <w:p w14:paraId="610BF670" w14:textId="77777777" w:rsidR="004C4227" w:rsidRPr="004C4227" w:rsidRDefault="004C4227" w:rsidP="004C4227">
      <w:pPr>
        <w:pStyle w:val="ListParagraph"/>
        <w:rPr>
          <w:rFonts w:ascii="Arial" w:hAnsi="Arial" w:cs="Arial"/>
          <w:color w:val="FF0000"/>
          <w:sz w:val="22"/>
          <w:szCs w:val="22"/>
        </w:rPr>
      </w:pPr>
    </w:p>
    <w:p w14:paraId="74B4F284" w14:textId="505FFB50" w:rsidR="008B16B3" w:rsidRPr="00556162" w:rsidRDefault="008B16B3" w:rsidP="008B16B3">
      <w:pPr>
        <w:ind w:left="360"/>
        <w:rPr>
          <w:rFonts w:ascii="Arial" w:hAnsi="Arial" w:cs="Arial"/>
          <w:sz w:val="22"/>
          <w:szCs w:val="22"/>
          <w:u w:val="single"/>
        </w:rPr>
      </w:pPr>
      <w:r w:rsidRPr="00556162">
        <w:rPr>
          <w:rFonts w:ascii="Arial" w:hAnsi="Arial" w:cs="Arial"/>
          <w:sz w:val="22"/>
          <w:szCs w:val="22"/>
          <w:u w:val="single"/>
        </w:rPr>
        <w:t xml:space="preserve">For </w:t>
      </w:r>
      <w:proofErr w:type="spellStart"/>
      <w:r w:rsidRPr="00556162">
        <w:rPr>
          <w:rFonts w:ascii="Arial" w:hAnsi="Arial" w:cs="Arial"/>
          <w:sz w:val="22"/>
          <w:szCs w:val="22"/>
          <w:u w:val="single"/>
        </w:rPr>
        <w:t>NextSeq</w:t>
      </w:r>
      <w:proofErr w:type="spellEnd"/>
      <w:r w:rsidRPr="00556162">
        <w:rPr>
          <w:rFonts w:ascii="Arial" w:hAnsi="Arial" w:cs="Arial"/>
          <w:sz w:val="22"/>
          <w:szCs w:val="22"/>
          <w:u w:val="single"/>
        </w:rPr>
        <w:t xml:space="preserve"> run:</w:t>
      </w:r>
    </w:p>
    <w:p w14:paraId="5CC8B35A" w14:textId="77777777" w:rsidR="008B16B3" w:rsidRPr="00556162" w:rsidRDefault="008B16B3" w:rsidP="008B16B3">
      <w:pPr>
        <w:pStyle w:val="ListParagraph"/>
        <w:numPr>
          <w:ilvl w:val="0"/>
          <w:numId w:val="1"/>
        </w:numPr>
        <w:ind w:left="720"/>
        <w:rPr>
          <w:rFonts w:ascii="Arial" w:hAnsi="Arial" w:cs="Arial"/>
          <w:sz w:val="22"/>
          <w:szCs w:val="22"/>
        </w:rPr>
      </w:pPr>
      <w:r w:rsidRPr="00556162">
        <w:rPr>
          <w:rFonts w:ascii="Arial" w:hAnsi="Arial" w:cs="Arial"/>
          <w:sz w:val="22"/>
          <w:szCs w:val="22"/>
        </w:rPr>
        <w:t>Use high-yield 75 cycle kit (which comes with 92 cycles)</w:t>
      </w:r>
    </w:p>
    <w:p w14:paraId="1A957836" w14:textId="77777777" w:rsidR="008B16B3" w:rsidRPr="00556162" w:rsidRDefault="008B16B3" w:rsidP="008B16B3">
      <w:pPr>
        <w:pStyle w:val="ListParagraph"/>
        <w:numPr>
          <w:ilvl w:val="0"/>
          <w:numId w:val="1"/>
        </w:numPr>
        <w:ind w:left="720"/>
        <w:rPr>
          <w:rFonts w:ascii="Arial" w:hAnsi="Arial" w:cs="Arial"/>
          <w:sz w:val="22"/>
          <w:szCs w:val="22"/>
        </w:rPr>
      </w:pPr>
      <w:r w:rsidRPr="00556162">
        <w:rPr>
          <w:rFonts w:ascii="Arial" w:hAnsi="Arial" w:cs="Arial"/>
          <w:sz w:val="22"/>
          <w:szCs w:val="22"/>
        </w:rPr>
        <w:t>36 cycles on read 1</w:t>
      </w:r>
    </w:p>
    <w:p w14:paraId="73317466" w14:textId="77777777" w:rsidR="008B16B3" w:rsidRPr="00556162" w:rsidRDefault="008B16B3" w:rsidP="008B16B3">
      <w:pPr>
        <w:pStyle w:val="ListParagraph"/>
        <w:numPr>
          <w:ilvl w:val="0"/>
          <w:numId w:val="1"/>
        </w:numPr>
        <w:ind w:left="720"/>
        <w:rPr>
          <w:rFonts w:ascii="Arial" w:hAnsi="Arial" w:cs="Arial"/>
          <w:sz w:val="22"/>
          <w:szCs w:val="22"/>
        </w:rPr>
      </w:pPr>
      <w:r w:rsidRPr="00556162">
        <w:rPr>
          <w:rFonts w:ascii="Arial" w:hAnsi="Arial" w:cs="Arial"/>
          <w:sz w:val="22"/>
          <w:szCs w:val="22"/>
        </w:rPr>
        <w:t>6 cycles on index read</w:t>
      </w:r>
    </w:p>
    <w:p w14:paraId="4B4B6384" w14:textId="77777777" w:rsidR="008B16B3" w:rsidRPr="00556162" w:rsidRDefault="008B16B3" w:rsidP="008B16B3">
      <w:pPr>
        <w:pStyle w:val="ListParagraph"/>
        <w:numPr>
          <w:ilvl w:val="0"/>
          <w:numId w:val="1"/>
        </w:numPr>
        <w:ind w:left="720"/>
        <w:rPr>
          <w:rFonts w:ascii="Arial" w:hAnsi="Arial" w:cs="Arial"/>
          <w:sz w:val="22"/>
          <w:szCs w:val="22"/>
        </w:rPr>
      </w:pPr>
      <w:r w:rsidRPr="00556162">
        <w:rPr>
          <w:rFonts w:ascii="Arial" w:hAnsi="Arial" w:cs="Arial"/>
          <w:sz w:val="22"/>
          <w:szCs w:val="22"/>
        </w:rPr>
        <w:t>Remaining 50 cycles on read 2</w:t>
      </w:r>
    </w:p>
    <w:p w14:paraId="6077C1D4" w14:textId="77777777" w:rsidR="00EA4787" w:rsidRPr="00556162" w:rsidRDefault="00EA4787" w:rsidP="008B16B3">
      <w:pPr>
        <w:ind w:left="360"/>
        <w:rPr>
          <w:rFonts w:ascii="Arial" w:hAnsi="Arial" w:cs="Arial"/>
          <w:sz w:val="22"/>
          <w:szCs w:val="22"/>
          <w:u w:val="single"/>
        </w:rPr>
      </w:pPr>
      <w:r w:rsidRPr="00556162">
        <w:rPr>
          <w:rFonts w:ascii="Arial" w:hAnsi="Arial" w:cs="Arial"/>
          <w:sz w:val="22"/>
          <w:szCs w:val="22"/>
          <w:u w:val="single"/>
        </w:rPr>
        <w:t xml:space="preserve">For diagnostic </w:t>
      </w:r>
      <w:proofErr w:type="spellStart"/>
      <w:r w:rsidRPr="00556162">
        <w:rPr>
          <w:rFonts w:ascii="Arial" w:hAnsi="Arial" w:cs="Arial"/>
          <w:sz w:val="22"/>
          <w:szCs w:val="22"/>
          <w:u w:val="single"/>
        </w:rPr>
        <w:t>MiSeq</w:t>
      </w:r>
      <w:proofErr w:type="spellEnd"/>
      <w:r w:rsidRPr="00556162">
        <w:rPr>
          <w:rFonts w:ascii="Arial" w:hAnsi="Arial" w:cs="Arial"/>
          <w:sz w:val="22"/>
          <w:szCs w:val="22"/>
          <w:u w:val="single"/>
        </w:rPr>
        <w:t xml:space="preserve"> run:</w:t>
      </w:r>
    </w:p>
    <w:p w14:paraId="6D53BF13" w14:textId="77777777" w:rsidR="00EA4787" w:rsidRPr="00556162" w:rsidRDefault="00EA4787" w:rsidP="008B16B3">
      <w:pPr>
        <w:pStyle w:val="ListParagraph"/>
        <w:numPr>
          <w:ilvl w:val="0"/>
          <w:numId w:val="1"/>
        </w:numPr>
        <w:ind w:left="720"/>
        <w:rPr>
          <w:rFonts w:ascii="Arial" w:hAnsi="Arial" w:cs="Arial"/>
          <w:sz w:val="22"/>
          <w:szCs w:val="22"/>
        </w:rPr>
      </w:pPr>
      <w:r w:rsidRPr="00556162">
        <w:rPr>
          <w:rFonts w:ascii="Arial" w:hAnsi="Arial" w:cs="Arial"/>
          <w:sz w:val="22"/>
          <w:szCs w:val="22"/>
        </w:rPr>
        <w:t>Use v3 150 cycle kit (all kits comes with +15 cycles for index reads)</w:t>
      </w:r>
    </w:p>
    <w:p w14:paraId="2C98E54F" w14:textId="77777777" w:rsidR="00EA4787" w:rsidRPr="00556162" w:rsidRDefault="00EA4787" w:rsidP="008B16B3">
      <w:pPr>
        <w:pStyle w:val="ListParagraph"/>
        <w:numPr>
          <w:ilvl w:val="0"/>
          <w:numId w:val="1"/>
        </w:numPr>
        <w:ind w:left="720"/>
        <w:rPr>
          <w:rFonts w:ascii="Arial" w:hAnsi="Arial" w:cs="Arial"/>
          <w:sz w:val="22"/>
          <w:szCs w:val="22"/>
        </w:rPr>
      </w:pPr>
      <w:r w:rsidRPr="00556162">
        <w:rPr>
          <w:rFonts w:ascii="Arial" w:hAnsi="Arial" w:cs="Arial"/>
          <w:sz w:val="22"/>
          <w:szCs w:val="22"/>
        </w:rPr>
        <w:t>Up to 103 cycles on read 1</w:t>
      </w:r>
    </w:p>
    <w:p w14:paraId="00A1CB24" w14:textId="6919A05A" w:rsidR="00EA4787" w:rsidRPr="00556162" w:rsidRDefault="003D2C29" w:rsidP="008B16B3">
      <w:pPr>
        <w:pStyle w:val="ListParagraph"/>
        <w:numPr>
          <w:ilvl w:val="0"/>
          <w:numId w:val="1"/>
        </w:numPr>
        <w:ind w:left="720"/>
        <w:rPr>
          <w:rFonts w:ascii="Arial" w:hAnsi="Arial" w:cs="Arial"/>
          <w:sz w:val="22"/>
          <w:szCs w:val="22"/>
        </w:rPr>
      </w:pPr>
      <w:r w:rsidRPr="00556162">
        <w:rPr>
          <w:rFonts w:ascii="Arial" w:hAnsi="Arial" w:cs="Arial"/>
          <w:sz w:val="22"/>
          <w:szCs w:val="22"/>
        </w:rPr>
        <w:t>6</w:t>
      </w:r>
      <w:r w:rsidR="00EA4787" w:rsidRPr="00556162">
        <w:rPr>
          <w:rFonts w:ascii="Arial" w:hAnsi="Arial" w:cs="Arial"/>
          <w:sz w:val="22"/>
          <w:szCs w:val="22"/>
        </w:rPr>
        <w:t xml:space="preserve"> cycles on index read</w:t>
      </w:r>
    </w:p>
    <w:p w14:paraId="3D070A9E" w14:textId="63988453" w:rsidR="00EA4787" w:rsidRPr="00556162" w:rsidRDefault="00EA4787" w:rsidP="008B16B3">
      <w:pPr>
        <w:pStyle w:val="ListParagraph"/>
        <w:numPr>
          <w:ilvl w:val="0"/>
          <w:numId w:val="1"/>
        </w:numPr>
        <w:ind w:left="720"/>
        <w:rPr>
          <w:rFonts w:ascii="Arial" w:hAnsi="Arial" w:cs="Arial"/>
          <w:sz w:val="22"/>
          <w:szCs w:val="22"/>
        </w:rPr>
      </w:pPr>
      <w:r w:rsidRPr="00556162">
        <w:rPr>
          <w:rFonts w:ascii="Arial" w:hAnsi="Arial" w:cs="Arial"/>
          <w:sz w:val="22"/>
          <w:szCs w:val="22"/>
        </w:rPr>
        <w:t>55 cycles on read 2</w:t>
      </w:r>
    </w:p>
    <w:p w14:paraId="6D195ECF" w14:textId="77777777" w:rsidR="008B16B3" w:rsidRPr="00556162" w:rsidRDefault="008B16B3" w:rsidP="008B16B3">
      <w:pPr>
        <w:pStyle w:val="ListParagraph"/>
        <w:rPr>
          <w:rFonts w:ascii="Arial" w:hAnsi="Arial" w:cs="Arial"/>
          <w:sz w:val="22"/>
          <w:szCs w:val="22"/>
        </w:rPr>
      </w:pPr>
    </w:p>
    <w:p w14:paraId="522F1BF9" w14:textId="77777777" w:rsidR="00EA4787" w:rsidRPr="00556162" w:rsidRDefault="00EA4787" w:rsidP="008B16B3">
      <w:pPr>
        <w:ind w:left="360"/>
        <w:rPr>
          <w:rFonts w:ascii="Arial" w:hAnsi="Arial" w:cs="Arial"/>
          <w:sz w:val="22"/>
          <w:szCs w:val="22"/>
          <w:u w:val="single"/>
        </w:rPr>
      </w:pPr>
      <w:r w:rsidRPr="00556162">
        <w:rPr>
          <w:rFonts w:ascii="Arial" w:hAnsi="Arial" w:cs="Arial"/>
          <w:sz w:val="22"/>
          <w:szCs w:val="22"/>
          <w:u w:val="single"/>
        </w:rPr>
        <w:t xml:space="preserve">For </w:t>
      </w:r>
      <w:proofErr w:type="spellStart"/>
      <w:r w:rsidRPr="00556162">
        <w:rPr>
          <w:rFonts w:ascii="Arial" w:hAnsi="Arial" w:cs="Arial"/>
          <w:sz w:val="22"/>
          <w:szCs w:val="22"/>
          <w:u w:val="single"/>
        </w:rPr>
        <w:t>HiSeq</w:t>
      </w:r>
      <w:proofErr w:type="spellEnd"/>
      <w:r w:rsidRPr="00556162">
        <w:rPr>
          <w:rFonts w:ascii="Arial" w:hAnsi="Arial" w:cs="Arial"/>
          <w:sz w:val="22"/>
          <w:szCs w:val="22"/>
          <w:u w:val="single"/>
        </w:rPr>
        <w:t xml:space="preserve"> 2000 run:</w:t>
      </w:r>
    </w:p>
    <w:p w14:paraId="745111B8" w14:textId="05B322F0" w:rsidR="00EA4787" w:rsidRPr="00556162" w:rsidRDefault="00EA4787" w:rsidP="008B16B3">
      <w:pPr>
        <w:pStyle w:val="ListParagraph"/>
        <w:numPr>
          <w:ilvl w:val="0"/>
          <w:numId w:val="1"/>
        </w:numPr>
        <w:ind w:left="720"/>
        <w:rPr>
          <w:rFonts w:ascii="Arial" w:hAnsi="Arial" w:cs="Arial"/>
          <w:sz w:val="22"/>
          <w:szCs w:val="22"/>
        </w:rPr>
      </w:pPr>
      <w:r w:rsidRPr="00556162">
        <w:rPr>
          <w:rFonts w:ascii="Arial" w:hAnsi="Arial" w:cs="Arial"/>
          <w:sz w:val="22"/>
          <w:szCs w:val="22"/>
        </w:rPr>
        <w:t>Samples must be m</w:t>
      </w:r>
      <w:r w:rsidR="00F43CF0" w:rsidRPr="00556162">
        <w:rPr>
          <w:rFonts w:ascii="Arial" w:hAnsi="Arial" w:cs="Arial"/>
          <w:sz w:val="22"/>
          <w:szCs w:val="22"/>
        </w:rPr>
        <w:t xml:space="preserve">ultiplexed for this machine, so you are </w:t>
      </w:r>
      <w:r w:rsidRPr="00556162">
        <w:rPr>
          <w:rFonts w:ascii="Arial" w:hAnsi="Arial" w:cs="Arial"/>
          <w:sz w:val="22"/>
          <w:szCs w:val="22"/>
        </w:rPr>
        <w:t>restricted to standard read lengths</w:t>
      </w:r>
      <w:r w:rsidR="00C37A1D" w:rsidRPr="00556162">
        <w:rPr>
          <w:rFonts w:ascii="Arial" w:hAnsi="Arial" w:cs="Arial"/>
          <w:sz w:val="22"/>
          <w:szCs w:val="22"/>
        </w:rPr>
        <w:t xml:space="preserve"> (be sure to include an index read)</w:t>
      </w:r>
    </w:p>
    <w:p w14:paraId="73C2490F" w14:textId="7F79C386" w:rsidR="00002C26" w:rsidRPr="00556162" w:rsidRDefault="00002C26" w:rsidP="008B16B3">
      <w:pPr>
        <w:pStyle w:val="ListParagraph"/>
        <w:numPr>
          <w:ilvl w:val="0"/>
          <w:numId w:val="1"/>
        </w:numPr>
        <w:ind w:left="720"/>
        <w:rPr>
          <w:rFonts w:ascii="Arial" w:hAnsi="Arial" w:cs="Arial"/>
          <w:sz w:val="22"/>
          <w:szCs w:val="22"/>
        </w:rPr>
      </w:pPr>
      <w:r w:rsidRPr="00556162">
        <w:rPr>
          <w:rFonts w:ascii="Arial" w:hAnsi="Arial" w:cs="Arial"/>
          <w:sz w:val="22"/>
          <w:szCs w:val="22"/>
        </w:rPr>
        <w:t>Use v3 reagents (v4 reagents may be incompatible with our library prep)</w:t>
      </w:r>
    </w:p>
    <w:p w14:paraId="5AD43DE7" w14:textId="27872B5C" w:rsidR="00EA4787" w:rsidRPr="00556162" w:rsidRDefault="00223BEB" w:rsidP="008B16B3">
      <w:pPr>
        <w:pStyle w:val="ListParagraph"/>
        <w:numPr>
          <w:ilvl w:val="0"/>
          <w:numId w:val="1"/>
        </w:numPr>
        <w:ind w:left="720"/>
        <w:rPr>
          <w:rFonts w:ascii="Arial" w:hAnsi="Arial" w:cs="Arial"/>
          <w:sz w:val="22"/>
          <w:szCs w:val="22"/>
        </w:rPr>
      </w:pPr>
      <w:r w:rsidRPr="00556162">
        <w:rPr>
          <w:rFonts w:ascii="Arial" w:hAnsi="Arial" w:cs="Arial"/>
          <w:sz w:val="22"/>
          <w:szCs w:val="22"/>
        </w:rPr>
        <w:t>Minimum required reads are Index, 37 cycles R1 and 50 cycles R2.  Read 1 can be longer if desired as this end reads into the gene</w:t>
      </w:r>
    </w:p>
    <w:p w14:paraId="07973F31" w14:textId="77777777" w:rsidR="008B16B3" w:rsidRPr="00556162" w:rsidRDefault="008B16B3" w:rsidP="008B16B3">
      <w:pPr>
        <w:pStyle w:val="ListParagraph"/>
        <w:rPr>
          <w:rFonts w:ascii="Arial" w:hAnsi="Arial" w:cs="Arial"/>
          <w:sz w:val="22"/>
          <w:szCs w:val="22"/>
        </w:rPr>
      </w:pPr>
    </w:p>
    <w:p w14:paraId="1B579C30" w14:textId="77777777" w:rsidR="00EA4787" w:rsidRPr="00556162" w:rsidRDefault="00EA4787" w:rsidP="008B16B3">
      <w:pPr>
        <w:ind w:left="360"/>
        <w:rPr>
          <w:rFonts w:ascii="Arial" w:hAnsi="Arial" w:cs="Arial"/>
          <w:sz w:val="22"/>
          <w:szCs w:val="22"/>
          <w:u w:val="single"/>
        </w:rPr>
      </w:pPr>
      <w:r w:rsidRPr="00556162">
        <w:rPr>
          <w:rFonts w:ascii="Arial" w:hAnsi="Arial" w:cs="Arial"/>
          <w:sz w:val="22"/>
          <w:szCs w:val="22"/>
          <w:u w:val="single"/>
        </w:rPr>
        <w:t xml:space="preserve">For </w:t>
      </w:r>
      <w:proofErr w:type="spellStart"/>
      <w:r w:rsidRPr="00556162">
        <w:rPr>
          <w:rFonts w:ascii="Arial" w:hAnsi="Arial" w:cs="Arial"/>
          <w:sz w:val="22"/>
          <w:szCs w:val="22"/>
          <w:u w:val="single"/>
        </w:rPr>
        <w:t>HiSeq</w:t>
      </w:r>
      <w:proofErr w:type="spellEnd"/>
      <w:r w:rsidRPr="00556162">
        <w:rPr>
          <w:rFonts w:ascii="Arial" w:hAnsi="Arial" w:cs="Arial"/>
          <w:sz w:val="22"/>
          <w:szCs w:val="22"/>
          <w:u w:val="single"/>
        </w:rPr>
        <w:t xml:space="preserve"> 2500 run:</w:t>
      </w:r>
    </w:p>
    <w:p w14:paraId="28067337" w14:textId="7ED28881" w:rsidR="00135D08" w:rsidRPr="00EA54D3" w:rsidRDefault="00EA4787" w:rsidP="00EA54D3">
      <w:pPr>
        <w:pStyle w:val="ListParagraph"/>
        <w:numPr>
          <w:ilvl w:val="0"/>
          <w:numId w:val="1"/>
        </w:numPr>
        <w:ind w:left="720"/>
        <w:rPr>
          <w:rFonts w:ascii="Arial" w:hAnsi="Arial" w:cs="Arial"/>
          <w:sz w:val="22"/>
          <w:szCs w:val="22"/>
        </w:rPr>
      </w:pPr>
      <w:r w:rsidRPr="00556162">
        <w:rPr>
          <w:rFonts w:ascii="Arial" w:hAnsi="Arial" w:cs="Arial"/>
          <w:sz w:val="22"/>
          <w:szCs w:val="22"/>
        </w:rPr>
        <w:t xml:space="preserve">Same as </w:t>
      </w:r>
      <w:proofErr w:type="spellStart"/>
      <w:r w:rsidRPr="00556162">
        <w:rPr>
          <w:rFonts w:ascii="Arial" w:hAnsi="Arial" w:cs="Arial"/>
          <w:sz w:val="22"/>
          <w:szCs w:val="22"/>
        </w:rPr>
        <w:t>MiSeq</w:t>
      </w:r>
      <w:proofErr w:type="spellEnd"/>
      <w:r w:rsidRPr="00556162">
        <w:rPr>
          <w:rFonts w:ascii="Arial" w:hAnsi="Arial" w:cs="Arial"/>
          <w:sz w:val="22"/>
          <w:szCs w:val="22"/>
        </w:rPr>
        <w:t>.</w:t>
      </w:r>
    </w:p>
    <w:p w14:paraId="46910CFB" w14:textId="77777777" w:rsidR="00002C26" w:rsidRPr="00556162" w:rsidRDefault="00002C26" w:rsidP="008B16B3">
      <w:pPr>
        <w:spacing w:after="0"/>
        <w:ind w:left="360"/>
        <w:rPr>
          <w:rFonts w:ascii="Arial" w:hAnsi="Arial" w:cs="Arial"/>
          <w:sz w:val="22"/>
          <w:szCs w:val="22"/>
        </w:rPr>
      </w:pPr>
      <w:r w:rsidRPr="00556162">
        <w:rPr>
          <w:rFonts w:ascii="Arial" w:hAnsi="Arial" w:cs="Arial"/>
          <w:sz w:val="22"/>
          <w:szCs w:val="22"/>
        </w:rPr>
        <w:t>Sequencing primers</w:t>
      </w:r>
      <w:r w:rsidR="003D4AB8" w:rsidRPr="00556162">
        <w:rPr>
          <w:rFonts w:ascii="Arial" w:hAnsi="Arial" w:cs="Arial"/>
          <w:sz w:val="22"/>
          <w:szCs w:val="22"/>
        </w:rPr>
        <w:t xml:space="preserve"> (should be HPLC-purified)</w:t>
      </w:r>
      <w:r w:rsidRPr="00556162">
        <w:rPr>
          <w:rFonts w:ascii="Arial" w:hAnsi="Arial" w:cs="Arial"/>
          <w:sz w:val="22"/>
          <w:szCs w:val="22"/>
        </w:rPr>
        <w:t>:</w:t>
      </w:r>
    </w:p>
    <w:p w14:paraId="23F31AF3" w14:textId="77777777" w:rsidR="00F43CF0" w:rsidRPr="00556162" w:rsidRDefault="00F43CF0" w:rsidP="008B16B3">
      <w:pPr>
        <w:spacing w:after="0"/>
        <w:ind w:left="360"/>
        <w:rPr>
          <w:rFonts w:ascii="Arial" w:hAnsi="Arial" w:cs="Arial"/>
          <w:sz w:val="22"/>
          <w:szCs w:val="22"/>
        </w:rPr>
      </w:pPr>
    </w:p>
    <w:p w14:paraId="7ABFC1D4" w14:textId="75CD2BDF" w:rsidR="00002C26" w:rsidRPr="00556162" w:rsidRDefault="00002C26" w:rsidP="008B16B3">
      <w:pPr>
        <w:spacing w:after="0"/>
        <w:ind w:left="360"/>
        <w:rPr>
          <w:rFonts w:ascii="Arial" w:hAnsi="Arial" w:cs="Arial"/>
          <w:sz w:val="22"/>
          <w:szCs w:val="22"/>
        </w:rPr>
      </w:pPr>
      <w:r w:rsidRPr="00556162">
        <w:rPr>
          <w:rFonts w:ascii="Arial" w:hAnsi="Arial" w:cs="Arial"/>
          <w:sz w:val="22"/>
          <w:szCs w:val="22"/>
        </w:rPr>
        <w:t>Read_1_seq: GGCATTCCTGCTGAACCGCTCTTCCGATCT</w:t>
      </w:r>
    </w:p>
    <w:p w14:paraId="297BCE10" w14:textId="68314E2D" w:rsidR="00002C26" w:rsidRPr="00556162" w:rsidRDefault="00002C26" w:rsidP="008B16B3">
      <w:pPr>
        <w:spacing w:after="0"/>
        <w:ind w:left="360"/>
        <w:rPr>
          <w:rFonts w:ascii="Arial" w:hAnsi="Arial" w:cs="Arial"/>
          <w:sz w:val="22"/>
          <w:szCs w:val="22"/>
        </w:rPr>
      </w:pPr>
      <w:r w:rsidRPr="00556162">
        <w:rPr>
          <w:rFonts w:ascii="Arial" w:hAnsi="Arial" w:cs="Arial"/>
          <w:sz w:val="22"/>
          <w:szCs w:val="22"/>
        </w:rPr>
        <w:t>Index_i7_seq: AGATCGGAAGAGCGTCGTGTAGGGAAAGAG</w:t>
      </w:r>
    </w:p>
    <w:p w14:paraId="655A1794" w14:textId="22FA083F" w:rsidR="00E45F38" w:rsidRDefault="00002C26" w:rsidP="008B16B3">
      <w:pPr>
        <w:spacing w:after="0"/>
        <w:ind w:left="360"/>
        <w:rPr>
          <w:rFonts w:ascii="Arial" w:hAnsi="Arial" w:cs="Arial"/>
          <w:sz w:val="22"/>
          <w:szCs w:val="22"/>
        </w:rPr>
      </w:pPr>
      <w:r w:rsidRPr="00556162">
        <w:rPr>
          <w:rFonts w:ascii="Arial" w:hAnsi="Arial" w:cs="Arial"/>
          <w:sz w:val="22"/>
          <w:szCs w:val="22"/>
        </w:rPr>
        <w:t>Read_2_seq: CTCTTTCCCTACACGACGCTCTTCCGATCT</w:t>
      </w:r>
    </w:p>
    <w:p w14:paraId="6D1B1F64" w14:textId="44903C9C" w:rsidR="004C4227" w:rsidRDefault="004C4227" w:rsidP="008B16B3">
      <w:pPr>
        <w:spacing w:after="0"/>
        <w:ind w:left="360"/>
        <w:rPr>
          <w:rFonts w:ascii="Arial" w:hAnsi="Arial" w:cs="Arial"/>
          <w:sz w:val="22"/>
          <w:szCs w:val="22"/>
        </w:rPr>
      </w:pPr>
    </w:p>
    <w:p w14:paraId="6C71FB1F" w14:textId="162CD528" w:rsidR="004C4227" w:rsidRPr="004C4227" w:rsidRDefault="004C4227" w:rsidP="004C4227">
      <w:pPr>
        <w:pStyle w:val="ListParagraph"/>
        <w:rPr>
          <w:rFonts w:ascii="Arial" w:hAnsi="Arial" w:cs="Arial"/>
          <w:color w:val="FF0000"/>
          <w:sz w:val="22"/>
          <w:szCs w:val="22"/>
        </w:rPr>
      </w:pPr>
      <w:r w:rsidRPr="004C4227">
        <w:rPr>
          <w:rFonts w:ascii="Arial" w:hAnsi="Arial" w:cs="Arial"/>
          <w:color w:val="FF0000"/>
          <w:sz w:val="22"/>
          <w:szCs w:val="22"/>
        </w:rPr>
        <w:t xml:space="preserve">Do NOT mix these custom primers into the standard Illumina primer mix.  This will cause sequencing Failure for </w:t>
      </w:r>
      <w:proofErr w:type="spellStart"/>
      <w:r w:rsidRPr="004C4227">
        <w:rPr>
          <w:rFonts w:ascii="Arial" w:hAnsi="Arial" w:cs="Arial"/>
          <w:color w:val="FF0000"/>
          <w:sz w:val="22"/>
          <w:szCs w:val="22"/>
        </w:rPr>
        <w:t>InDrop</w:t>
      </w:r>
      <w:proofErr w:type="spellEnd"/>
      <w:r w:rsidRPr="004C4227">
        <w:rPr>
          <w:rFonts w:ascii="Arial" w:hAnsi="Arial" w:cs="Arial"/>
          <w:color w:val="FF0000"/>
          <w:sz w:val="22"/>
          <w:szCs w:val="22"/>
        </w:rPr>
        <w:t xml:space="preserve"> libraries. V2 custom primers must be kept separate.</w:t>
      </w:r>
    </w:p>
    <w:p w14:paraId="48AC9CC2" w14:textId="111D063E" w:rsidR="00000F52" w:rsidRDefault="00000F52" w:rsidP="008B16B3">
      <w:pPr>
        <w:spacing w:after="0"/>
        <w:ind w:left="360"/>
        <w:rPr>
          <w:rFonts w:ascii="Arial" w:hAnsi="Arial" w:cs="Arial"/>
          <w:sz w:val="22"/>
          <w:szCs w:val="22"/>
        </w:rPr>
      </w:pPr>
    </w:p>
    <w:p w14:paraId="0F17F51A" w14:textId="5AFAF197" w:rsidR="003A395A" w:rsidRPr="002A399A" w:rsidRDefault="003A395A" w:rsidP="003A395A">
      <w:pPr>
        <w:spacing w:after="0"/>
        <w:rPr>
          <w:rFonts w:ascii="Arial" w:hAnsi="Arial" w:cs="Arial"/>
          <w:sz w:val="22"/>
          <w:szCs w:val="22"/>
        </w:rPr>
      </w:pPr>
      <w:r w:rsidRPr="002A399A">
        <w:rPr>
          <w:rFonts w:ascii="Arial" w:hAnsi="Arial" w:cs="Arial"/>
          <w:sz w:val="22"/>
          <w:szCs w:val="22"/>
        </w:rPr>
        <w:t>These are the sequences of the sample indices used on V</w:t>
      </w:r>
      <w:r>
        <w:rPr>
          <w:rFonts w:ascii="Arial" w:hAnsi="Arial" w:cs="Arial"/>
          <w:sz w:val="22"/>
          <w:szCs w:val="22"/>
        </w:rPr>
        <w:t xml:space="preserve">2 </w:t>
      </w:r>
      <w:r w:rsidRPr="002A399A">
        <w:rPr>
          <w:rFonts w:ascii="Arial" w:hAnsi="Arial" w:cs="Arial"/>
          <w:sz w:val="22"/>
          <w:szCs w:val="22"/>
        </w:rPr>
        <w:t>libraries:</w:t>
      </w:r>
    </w:p>
    <w:p w14:paraId="21853A3D" w14:textId="77777777" w:rsidR="003A395A" w:rsidRPr="00556162" w:rsidRDefault="003A395A" w:rsidP="008B16B3">
      <w:pPr>
        <w:spacing w:after="0"/>
        <w:ind w:left="360"/>
        <w:rPr>
          <w:rFonts w:ascii="Arial" w:hAnsi="Arial" w:cs="Arial"/>
          <w:sz w:val="22"/>
          <w:szCs w:val="22"/>
        </w:rPr>
      </w:pPr>
    </w:p>
    <w:p w14:paraId="21069E16" w14:textId="17CDB803" w:rsidR="00000F52" w:rsidRPr="00135D08" w:rsidRDefault="00135D08" w:rsidP="008B16B3">
      <w:pPr>
        <w:spacing w:after="0"/>
        <w:ind w:left="360"/>
        <w:rPr>
          <w:rFonts w:ascii="Arial" w:hAnsi="Arial" w:cs="Arial"/>
          <w:sz w:val="22"/>
          <w:szCs w:val="22"/>
          <w:u w:val="single"/>
        </w:rPr>
      </w:pPr>
      <w:r w:rsidRPr="00135D08">
        <w:rPr>
          <w:rFonts w:ascii="Arial" w:hAnsi="Arial" w:cs="Arial"/>
          <w:sz w:val="22"/>
          <w:szCs w:val="22"/>
          <w:u w:val="single"/>
        </w:rPr>
        <w:t xml:space="preserve">V2 </w:t>
      </w:r>
      <w:r w:rsidR="00C23F9C">
        <w:rPr>
          <w:rFonts w:ascii="Arial" w:hAnsi="Arial" w:cs="Arial"/>
          <w:sz w:val="22"/>
          <w:szCs w:val="22"/>
          <w:u w:val="single"/>
        </w:rPr>
        <w:t>Index sequences</w:t>
      </w:r>
    </w:p>
    <w:p w14:paraId="2EB6B707" w14:textId="4BE6D2A1"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 ATCACG</w:t>
      </w:r>
    </w:p>
    <w:p w14:paraId="329844E9" w14:textId="712B5ACE"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idx2: CGATGT</w:t>
      </w:r>
    </w:p>
    <w:p w14:paraId="16986F6C" w14:textId="27477564"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idx3: TTAGGC</w:t>
      </w:r>
    </w:p>
    <w:p w14:paraId="70F72E5D" w14:textId="7B6F4E2C"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lastRenderedPageBreak/>
        <w:t>idx4: TGACCA</w:t>
      </w:r>
    </w:p>
    <w:p w14:paraId="55BAA576" w14:textId="7816EDCF"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idx5: ACAGTG</w:t>
      </w:r>
    </w:p>
    <w:p w14:paraId="746A8D7C" w14:textId="22AE19E8"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idx6: GCCAAT</w:t>
      </w:r>
    </w:p>
    <w:p w14:paraId="36C2C449" w14:textId="0C24AEEE"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idx7: CAGATC</w:t>
      </w:r>
    </w:p>
    <w:p w14:paraId="68F0F045" w14:textId="7657852C"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idx8: ACTTGA</w:t>
      </w:r>
    </w:p>
    <w:p w14:paraId="7E3E7967" w14:textId="169CE957"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idx9: GATCAG</w:t>
      </w:r>
    </w:p>
    <w:p w14:paraId="3DC46BAA" w14:textId="1CB067EE"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idx10: TAGCTT</w:t>
      </w:r>
    </w:p>
    <w:p w14:paraId="33632D5A" w14:textId="368FC737"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idx11: GGCTAC</w:t>
      </w:r>
    </w:p>
    <w:p w14:paraId="7ECFB24E" w14:textId="44DA53D5"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idx12: CTTGTA</w:t>
      </w:r>
    </w:p>
    <w:p w14:paraId="00F847A9" w14:textId="06CEFDD4"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idx13: AGTCAA</w:t>
      </w:r>
    </w:p>
    <w:p w14:paraId="4FE1D278" w14:textId="4DEC73A0"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idx14: AGTTCC</w:t>
      </w:r>
    </w:p>
    <w:p w14:paraId="255428A7" w14:textId="031C9127"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idx15: ATGTCA</w:t>
      </w:r>
    </w:p>
    <w:p w14:paraId="28A8528E" w14:textId="79F93857"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idx16: CCGTCC</w:t>
      </w:r>
    </w:p>
    <w:p w14:paraId="5C73DACA" w14:textId="68F36421"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idx17: GTAGAG</w:t>
      </w:r>
    </w:p>
    <w:p w14:paraId="639D62FA" w14:textId="5C5546F0"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idx18: GTCCGC</w:t>
      </w:r>
    </w:p>
    <w:p w14:paraId="27EB0ABB" w14:textId="4E8F562E"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idx19: GTGAAA</w:t>
      </w:r>
    </w:p>
    <w:p w14:paraId="7F076FB6" w14:textId="6BE9F940"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idx20: GTGGCC</w:t>
      </w:r>
    </w:p>
    <w:p w14:paraId="5B5599C5" w14:textId="0A0C0497"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idx21: GTTTCG</w:t>
      </w:r>
    </w:p>
    <w:p w14:paraId="7DF8EFC2" w14:textId="0A18BD8C"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idx22: CGTACG</w:t>
      </w:r>
    </w:p>
    <w:p w14:paraId="5212D378" w14:textId="722C492C"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idx23: GAGTGG</w:t>
      </w:r>
    </w:p>
    <w:p w14:paraId="4C02734B" w14:textId="2800085C" w:rsidR="00000F52" w:rsidRPr="00556162" w:rsidRDefault="00000F52" w:rsidP="008B16B3">
      <w:pPr>
        <w:spacing w:after="0"/>
        <w:ind w:left="360"/>
        <w:rPr>
          <w:rFonts w:ascii="Arial" w:hAnsi="Arial" w:cs="Arial"/>
          <w:sz w:val="22"/>
          <w:szCs w:val="22"/>
        </w:rPr>
      </w:pPr>
      <w:r w:rsidRPr="00556162">
        <w:rPr>
          <w:rFonts w:ascii="Arial" w:hAnsi="Arial" w:cs="Arial"/>
          <w:sz w:val="22"/>
          <w:szCs w:val="22"/>
        </w:rPr>
        <w:t>idx24: GGTAGC</w:t>
      </w:r>
    </w:p>
    <w:sectPr w:rsidR="00000F52" w:rsidRPr="00556162" w:rsidSect="00F43CF0">
      <w:pgSz w:w="12242" w:h="15842"/>
      <w:pgMar w:top="1080" w:right="792" w:bottom="1080" w:left="1080" w:header="706" w:footer="706"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05F4"/>
    <w:multiLevelType w:val="hybridMultilevel"/>
    <w:tmpl w:val="548AC7AC"/>
    <w:lvl w:ilvl="0" w:tplc="A3D0E666">
      <w:start w:val="1"/>
      <w:numFmt w:val="bullet"/>
      <w:lvlText w:val=""/>
      <w:lvlJc w:val="left"/>
      <w:pPr>
        <w:ind w:left="360" w:hanging="360"/>
      </w:pPr>
      <w:rPr>
        <w:rFonts w:ascii="Symbol" w:eastAsiaTheme="minorEastAsia" w:hAnsi="Symbol" w:cs="Aria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F38"/>
    <w:rsid w:val="00000F52"/>
    <w:rsid w:val="00002C26"/>
    <w:rsid w:val="00030A76"/>
    <w:rsid w:val="00036199"/>
    <w:rsid w:val="000615A6"/>
    <w:rsid w:val="000A1792"/>
    <w:rsid w:val="000E438E"/>
    <w:rsid w:val="00117C5F"/>
    <w:rsid w:val="0012498B"/>
    <w:rsid w:val="00135D08"/>
    <w:rsid w:val="001D48F9"/>
    <w:rsid w:val="00205FDF"/>
    <w:rsid w:val="00223BEB"/>
    <w:rsid w:val="00232433"/>
    <w:rsid w:val="00275883"/>
    <w:rsid w:val="002903B6"/>
    <w:rsid w:val="002A399A"/>
    <w:rsid w:val="003A395A"/>
    <w:rsid w:val="003B08B1"/>
    <w:rsid w:val="003D2C29"/>
    <w:rsid w:val="003D4AB8"/>
    <w:rsid w:val="003E2CBB"/>
    <w:rsid w:val="004155F1"/>
    <w:rsid w:val="004850A2"/>
    <w:rsid w:val="00495551"/>
    <w:rsid w:val="004C4227"/>
    <w:rsid w:val="00556162"/>
    <w:rsid w:val="00587EAB"/>
    <w:rsid w:val="005A6B02"/>
    <w:rsid w:val="005F077B"/>
    <w:rsid w:val="00617AA6"/>
    <w:rsid w:val="00635380"/>
    <w:rsid w:val="006B6C74"/>
    <w:rsid w:val="006F5086"/>
    <w:rsid w:val="00730121"/>
    <w:rsid w:val="00787EFD"/>
    <w:rsid w:val="00792508"/>
    <w:rsid w:val="007A39AE"/>
    <w:rsid w:val="007F6235"/>
    <w:rsid w:val="00820395"/>
    <w:rsid w:val="00821FB8"/>
    <w:rsid w:val="0082787B"/>
    <w:rsid w:val="00862CD9"/>
    <w:rsid w:val="008A5485"/>
    <w:rsid w:val="008B16B3"/>
    <w:rsid w:val="008C330C"/>
    <w:rsid w:val="0090263D"/>
    <w:rsid w:val="00944A44"/>
    <w:rsid w:val="00990021"/>
    <w:rsid w:val="00A01C8A"/>
    <w:rsid w:val="00A9264D"/>
    <w:rsid w:val="00AB4A4A"/>
    <w:rsid w:val="00AE509F"/>
    <w:rsid w:val="00B17D9B"/>
    <w:rsid w:val="00B26008"/>
    <w:rsid w:val="00BD4740"/>
    <w:rsid w:val="00BE4588"/>
    <w:rsid w:val="00BE7D21"/>
    <w:rsid w:val="00C23F9C"/>
    <w:rsid w:val="00C37A1D"/>
    <w:rsid w:val="00C517A7"/>
    <w:rsid w:val="00CD052D"/>
    <w:rsid w:val="00CE63EE"/>
    <w:rsid w:val="00CF010C"/>
    <w:rsid w:val="00D00FB0"/>
    <w:rsid w:val="00D8653D"/>
    <w:rsid w:val="00D92CE4"/>
    <w:rsid w:val="00E45F38"/>
    <w:rsid w:val="00E541CA"/>
    <w:rsid w:val="00E63920"/>
    <w:rsid w:val="00EA3C14"/>
    <w:rsid w:val="00EA4787"/>
    <w:rsid w:val="00EA54D3"/>
    <w:rsid w:val="00EB57DE"/>
    <w:rsid w:val="00EF0DB2"/>
    <w:rsid w:val="00F0321D"/>
    <w:rsid w:val="00F43CF0"/>
    <w:rsid w:val="00F43F5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EBA8B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09F"/>
    <w:rPr>
      <w:sz w:val="24"/>
      <w:szCs w:val="24"/>
      <w:lang w:val="en-US"/>
    </w:rPr>
  </w:style>
  <w:style w:type="paragraph" w:styleId="Heading1">
    <w:name w:val="heading 1"/>
    <w:basedOn w:val="Normal"/>
    <w:next w:val="Normal"/>
    <w:link w:val="Heading1Char"/>
    <w:uiPriority w:val="9"/>
    <w:qFormat/>
    <w:rsid w:val="00C23F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3249"/>
    <w:rPr>
      <w:rFonts w:ascii="Lucida Grande" w:hAnsi="Lucida Grande"/>
      <w:sz w:val="18"/>
      <w:szCs w:val="18"/>
    </w:rPr>
  </w:style>
  <w:style w:type="paragraph" w:styleId="ListParagraph">
    <w:name w:val="List Paragraph"/>
    <w:basedOn w:val="Normal"/>
    <w:uiPriority w:val="34"/>
    <w:qFormat/>
    <w:rsid w:val="00E45F38"/>
    <w:pPr>
      <w:ind w:left="720"/>
      <w:contextualSpacing/>
    </w:pPr>
  </w:style>
  <w:style w:type="character" w:styleId="CommentReference">
    <w:name w:val="annotation reference"/>
    <w:basedOn w:val="DefaultParagraphFont"/>
    <w:uiPriority w:val="99"/>
    <w:semiHidden/>
    <w:unhideWhenUsed/>
    <w:rsid w:val="00A01C8A"/>
    <w:rPr>
      <w:sz w:val="18"/>
      <w:szCs w:val="18"/>
    </w:rPr>
  </w:style>
  <w:style w:type="paragraph" w:styleId="CommentText">
    <w:name w:val="annotation text"/>
    <w:basedOn w:val="Normal"/>
    <w:link w:val="CommentTextChar"/>
    <w:uiPriority w:val="99"/>
    <w:semiHidden/>
    <w:unhideWhenUsed/>
    <w:rsid w:val="00A01C8A"/>
  </w:style>
  <w:style w:type="character" w:customStyle="1" w:styleId="CommentTextChar">
    <w:name w:val="Comment Text Char"/>
    <w:basedOn w:val="DefaultParagraphFont"/>
    <w:link w:val="CommentText"/>
    <w:uiPriority w:val="99"/>
    <w:semiHidden/>
    <w:rsid w:val="00A01C8A"/>
    <w:rPr>
      <w:sz w:val="24"/>
      <w:szCs w:val="24"/>
      <w:lang w:val="en-US"/>
    </w:rPr>
  </w:style>
  <w:style w:type="paragraph" w:styleId="CommentSubject">
    <w:name w:val="annotation subject"/>
    <w:basedOn w:val="CommentText"/>
    <w:next w:val="CommentText"/>
    <w:link w:val="CommentSubjectChar"/>
    <w:uiPriority w:val="99"/>
    <w:semiHidden/>
    <w:unhideWhenUsed/>
    <w:rsid w:val="00A01C8A"/>
    <w:rPr>
      <w:b/>
      <w:bCs/>
      <w:sz w:val="20"/>
      <w:szCs w:val="20"/>
    </w:rPr>
  </w:style>
  <w:style w:type="character" w:customStyle="1" w:styleId="CommentSubjectChar">
    <w:name w:val="Comment Subject Char"/>
    <w:basedOn w:val="CommentTextChar"/>
    <w:link w:val="CommentSubject"/>
    <w:uiPriority w:val="99"/>
    <w:semiHidden/>
    <w:rsid w:val="00A01C8A"/>
    <w:rPr>
      <w:b/>
      <w:bCs/>
      <w:sz w:val="24"/>
      <w:szCs w:val="24"/>
      <w:lang w:val="en-US"/>
    </w:rPr>
  </w:style>
  <w:style w:type="character" w:customStyle="1" w:styleId="Heading1Char">
    <w:name w:val="Heading 1 Char"/>
    <w:basedOn w:val="DefaultParagraphFont"/>
    <w:link w:val="Heading1"/>
    <w:uiPriority w:val="9"/>
    <w:rsid w:val="00C23F9C"/>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028467">
      <w:bodyDiv w:val="1"/>
      <w:marLeft w:val="0"/>
      <w:marRight w:val="0"/>
      <w:marTop w:val="0"/>
      <w:marBottom w:val="0"/>
      <w:divBdr>
        <w:top w:val="none" w:sz="0" w:space="0" w:color="auto"/>
        <w:left w:val="none" w:sz="0" w:space="0" w:color="auto"/>
        <w:bottom w:val="none" w:sz="0" w:space="0" w:color="auto"/>
        <w:right w:val="none" w:sz="0" w:space="0" w:color="auto"/>
      </w:divBdr>
      <w:divsChild>
        <w:div w:id="1792095338">
          <w:marLeft w:val="0"/>
          <w:marRight w:val="0"/>
          <w:marTop w:val="0"/>
          <w:marBottom w:val="0"/>
          <w:divBdr>
            <w:top w:val="none" w:sz="0" w:space="0" w:color="auto"/>
            <w:left w:val="none" w:sz="0" w:space="0" w:color="auto"/>
            <w:bottom w:val="none" w:sz="0" w:space="0" w:color="auto"/>
            <w:right w:val="none" w:sz="0" w:space="0" w:color="auto"/>
          </w:divBdr>
        </w:div>
        <w:div w:id="1873809053">
          <w:marLeft w:val="0"/>
          <w:marRight w:val="0"/>
          <w:marTop w:val="0"/>
          <w:marBottom w:val="0"/>
          <w:divBdr>
            <w:top w:val="none" w:sz="0" w:space="0" w:color="auto"/>
            <w:left w:val="none" w:sz="0" w:space="0" w:color="auto"/>
            <w:bottom w:val="none" w:sz="0" w:space="0" w:color="auto"/>
            <w:right w:val="none" w:sz="0" w:space="0" w:color="auto"/>
          </w:divBdr>
        </w:div>
        <w:div w:id="477772315">
          <w:marLeft w:val="0"/>
          <w:marRight w:val="0"/>
          <w:marTop w:val="0"/>
          <w:marBottom w:val="0"/>
          <w:divBdr>
            <w:top w:val="none" w:sz="0" w:space="0" w:color="auto"/>
            <w:left w:val="none" w:sz="0" w:space="0" w:color="auto"/>
            <w:bottom w:val="none" w:sz="0" w:space="0" w:color="auto"/>
            <w:right w:val="none" w:sz="0" w:space="0" w:color="auto"/>
          </w:divBdr>
        </w:div>
        <w:div w:id="970090304">
          <w:marLeft w:val="0"/>
          <w:marRight w:val="0"/>
          <w:marTop w:val="0"/>
          <w:marBottom w:val="0"/>
          <w:divBdr>
            <w:top w:val="none" w:sz="0" w:space="0" w:color="auto"/>
            <w:left w:val="none" w:sz="0" w:space="0" w:color="auto"/>
            <w:bottom w:val="none" w:sz="0" w:space="0" w:color="auto"/>
            <w:right w:val="none" w:sz="0" w:space="0" w:color="auto"/>
          </w:divBdr>
        </w:div>
        <w:div w:id="734427784">
          <w:marLeft w:val="0"/>
          <w:marRight w:val="0"/>
          <w:marTop w:val="0"/>
          <w:marBottom w:val="0"/>
          <w:divBdr>
            <w:top w:val="none" w:sz="0" w:space="0" w:color="auto"/>
            <w:left w:val="none" w:sz="0" w:space="0" w:color="auto"/>
            <w:bottom w:val="none" w:sz="0" w:space="0" w:color="auto"/>
            <w:right w:val="none" w:sz="0" w:space="0" w:color="auto"/>
          </w:divBdr>
        </w:div>
        <w:div w:id="1557937520">
          <w:marLeft w:val="0"/>
          <w:marRight w:val="0"/>
          <w:marTop w:val="0"/>
          <w:marBottom w:val="0"/>
          <w:divBdr>
            <w:top w:val="none" w:sz="0" w:space="0" w:color="auto"/>
            <w:left w:val="none" w:sz="0" w:space="0" w:color="auto"/>
            <w:bottom w:val="none" w:sz="0" w:space="0" w:color="auto"/>
            <w:right w:val="none" w:sz="0" w:space="0" w:color="auto"/>
          </w:divBdr>
        </w:div>
        <w:div w:id="411970437">
          <w:marLeft w:val="0"/>
          <w:marRight w:val="0"/>
          <w:marTop w:val="0"/>
          <w:marBottom w:val="0"/>
          <w:divBdr>
            <w:top w:val="none" w:sz="0" w:space="0" w:color="auto"/>
            <w:left w:val="none" w:sz="0" w:space="0" w:color="auto"/>
            <w:bottom w:val="none" w:sz="0" w:space="0" w:color="auto"/>
            <w:right w:val="none" w:sz="0" w:space="0" w:color="auto"/>
          </w:divBdr>
        </w:div>
        <w:div w:id="736711370">
          <w:marLeft w:val="0"/>
          <w:marRight w:val="0"/>
          <w:marTop w:val="0"/>
          <w:marBottom w:val="0"/>
          <w:divBdr>
            <w:top w:val="none" w:sz="0" w:space="0" w:color="auto"/>
            <w:left w:val="none" w:sz="0" w:space="0" w:color="auto"/>
            <w:bottom w:val="none" w:sz="0" w:space="0" w:color="auto"/>
            <w:right w:val="none" w:sz="0" w:space="0" w:color="auto"/>
          </w:divBdr>
        </w:div>
        <w:div w:id="83179632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D7182-1435-4344-AF7B-33ABC509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6</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Allon Klein</dc:creator>
  <cp:keywords/>
  <dc:description/>
  <cp:lastModifiedBy>Boswell, Sarah A.</cp:lastModifiedBy>
  <cp:revision>8</cp:revision>
  <dcterms:created xsi:type="dcterms:W3CDTF">2018-02-28T20:38:00Z</dcterms:created>
  <dcterms:modified xsi:type="dcterms:W3CDTF">2018-06-27T13:33:00Z</dcterms:modified>
</cp:coreProperties>
</file>